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634F6DD" w14:textId="03401512" w:rsidR="009316D5" w:rsidRPr="00321B45" w:rsidRDefault="002D41F2" w:rsidP="009316D5">
      <w:pPr>
        <w:spacing w:after="160" w:line="259" w:lineRule="auto"/>
        <w:ind w:left="0" w:firstLine="0"/>
        <w:jc w:val="center"/>
        <w:rPr>
          <w:rFonts w:ascii="Arial Narrow" w:hAnsi="Arial Narrow"/>
          <w:b/>
          <w:sz w:val="48"/>
          <w:szCs w:val="48"/>
          <w:u w:color="000000"/>
        </w:rPr>
      </w:pPr>
      <w:bookmarkStart w:id="0" w:name="_Hlk141339460"/>
      <w:bookmarkStart w:id="1" w:name="_Hlk139879835"/>
      <w:r w:rsidRPr="00321B45">
        <w:rPr>
          <w:rFonts w:ascii="Arial Narrow" w:hAnsi="Arial Narrow"/>
          <w:b/>
          <w:sz w:val="48"/>
          <w:szCs w:val="48"/>
        </w:rPr>
        <w:t xml:space="preserve">Supply of </w:t>
      </w:r>
      <w:r w:rsidR="00847DCC">
        <w:rPr>
          <w:rFonts w:ascii="Arial Narrow" w:hAnsi="Arial Narrow"/>
          <w:b/>
          <w:sz w:val="48"/>
          <w:szCs w:val="48"/>
        </w:rPr>
        <w:t>New Furniture</w:t>
      </w:r>
      <w:r w:rsidR="00321B45" w:rsidRPr="00321B45">
        <w:rPr>
          <w:rFonts w:ascii="Arial Narrow" w:hAnsi="Arial Narrow"/>
          <w:b/>
          <w:sz w:val="48"/>
          <w:szCs w:val="48"/>
        </w:rPr>
        <w:t xml:space="preserve"> </w:t>
      </w:r>
      <w:bookmarkEnd w:id="0"/>
    </w:p>
    <w:bookmarkEnd w:id="1"/>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4A5A8F71"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0A5DA6">
              <w:rPr>
                <w:noProof/>
                <w:webHidden/>
              </w:rPr>
              <w:t>4</w:t>
            </w:r>
            <w:r w:rsidR="00A26C49">
              <w:rPr>
                <w:noProof/>
                <w:webHidden/>
              </w:rPr>
              <w:fldChar w:fldCharType="end"/>
            </w:r>
          </w:hyperlink>
        </w:p>
        <w:p w14:paraId="6358066F" w14:textId="6492687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0A5DA6">
              <w:rPr>
                <w:noProof/>
                <w:webHidden/>
              </w:rPr>
              <w:t>5</w:t>
            </w:r>
            <w:r w:rsidR="00A26C49">
              <w:rPr>
                <w:noProof/>
                <w:webHidden/>
              </w:rPr>
              <w:fldChar w:fldCharType="end"/>
            </w:r>
          </w:hyperlink>
        </w:p>
        <w:p w14:paraId="42FBC969" w14:textId="0472634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0A5DA6">
              <w:rPr>
                <w:noProof/>
                <w:webHidden/>
              </w:rPr>
              <w:t>5</w:t>
            </w:r>
            <w:r w:rsidR="00A26C49">
              <w:rPr>
                <w:noProof/>
                <w:webHidden/>
              </w:rPr>
              <w:fldChar w:fldCharType="end"/>
            </w:r>
          </w:hyperlink>
        </w:p>
        <w:p w14:paraId="506A8900" w14:textId="25880C5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0A5DA6">
              <w:rPr>
                <w:noProof/>
                <w:webHidden/>
              </w:rPr>
              <w:t>5</w:t>
            </w:r>
            <w:r w:rsidR="00A26C49">
              <w:rPr>
                <w:noProof/>
                <w:webHidden/>
              </w:rPr>
              <w:fldChar w:fldCharType="end"/>
            </w:r>
          </w:hyperlink>
        </w:p>
        <w:p w14:paraId="2216A642" w14:textId="4EEC888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0A5DA6">
              <w:rPr>
                <w:noProof/>
                <w:webHidden/>
              </w:rPr>
              <w:t>5</w:t>
            </w:r>
            <w:r w:rsidR="00A26C49">
              <w:rPr>
                <w:noProof/>
                <w:webHidden/>
              </w:rPr>
              <w:fldChar w:fldCharType="end"/>
            </w:r>
          </w:hyperlink>
        </w:p>
        <w:p w14:paraId="59F502F9" w14:textId="0F72496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0A5DA6">
              <w:rPr>
                <w:noProof/>
                <w:webHidden/>
              </w:rPr>
              <w:t>6</w:t>
            </w:r>
            <w:r w:rsidR="00A26C49">
              <w:rPr>
                <w:noProof/>
                <w:webHidden/>
              </w:rPr>
              <w:fldChar w:fldCharType="end"/>
            </w:r>
          </w:hyperlink>
        </w:p>
        <w:p w14:paraId="277FF1DC" w14:textId="03FD80B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0A5DA6">
              <w:rPr>
                <w:noProof/>
                <w:webHidden/>
              </w:rPr>
              <w:t>6</w:t>
            </w:r>
            <w:r w:rsidR="00A26C49">
              <w:rPr>
                <w:noProof/>
                <w:webHidden/>
              </w:rPr>
              <w:fldChar w:fldCharType="end"/>
            </w:r>
          </w:hyperlink>
        </w:p>
        <w:p w14:paraId="726E51DF" w14:textId="5D940E4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0A5DA6">
              <w:rPr>
                <w:noProof/>
                <w:webHidden/>
              </w:rPr>
              <w:t>7</w:t>
            </w:r>
            <w:r w:rsidR="00A26C49">
              <w:rPr>
                <w:noProof/>
                <w:webHidden/>
              </w:rPr>
              <w:fldChar w:fldCharType="end"/>
            </w:r>
          </w:hyperlink>
        </w:p>
        <w:p w14:paraId="0D47C6C2" w14:textId="28F8BDB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0A5DA6">
              <w:rPr>
                <w:noProof/>
                <w:webHidden/>
              </w:rPr>
              <w:t>7</w:t>
            </w:r>
            <w:r w:rsidR="00A26C49">
              <w:rPr>
                <w:noProof/>
                <w:webHidden/>
              </w:rPr>
              <w:fldChar w:fldCharType="end"/>
            </w:r>
          </w:hyperlink>
        </w:p>
        <w:p w14:paraId="15A0C5F0" w14:textId="41FD109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0A5DA6">
              <w:rPr>
                <w:noProof/>
                <w:webHidden/>
              </w:rPr>
              <w:t>8</w:t>
            </w:r>
            <w:r w:rsidR="00A26C49">
              <w:rPr>
                <w:noProof/>
                <w:webHidden/>
              </w:rPr>
              <w:fldChar w:fldCharType="end"/>
            </w:r>
          </w:hyperlink>
        </w:p>
        <w:p w14:paraId="53D64A46" w14:textId="62E742A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0A5DA6">
              <w:rPr>
                <w:noProof/>
                <w:webHidden/>
              </w:rPr>
              <w:t>8</w:t>
            </w:r>
            <w:r w:rsidR="00A26C49">
              <w:rPr>
                <w:noProof/>
                <w:webHidden/>
              </w:rPr>
              <w:fldChar w:fldCharType="end"/>
            </w:r>
          </w:hyperlink>
        </w:p>
        <w:p w14:paraId="5EEC4136" w14:textId="546ABC9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0A5DA6">
              <w:rPr>
                <w:noProof/>
                <w:webHidden/>
              </w:rPr>
              <w:t>8</w:t>
            </w:r>
            <w:r w:rsidR="00A26C49">
              <w:rPr>
                <w:noProof/>
                <w:webHidden/>
              </w:rPr>
              <w:fldChar w:fldCharType="end"/>
            </w:r>
          </w:hyperlink>
        </w:p>
        <w:p w14:paraId="288E9008" w14:textId="3DADC96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0A5DA6">
              <w:rPr>
                <w:noProof/>
                <w:webHidden/>
              </w:rPr>
              <w:t>9</w:t>
            </w:r>
            <w:r w:rsidR="00A26C49">
              <w:rPr>
                <w:noProof/>
                <w:webHidden/>
              </w:rPr>
              <w:fldChar w:fldCharType="end"/>
            </w:r>
          </w:hyperlink>
        </w:p>
        <w:p w14:paraId="00384D77" w14:textId="0651023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0A5DA6">
              <w:rPr>
                <w:noProof/>
                <w:webHidden/>
              </w:rPr>
              <w:t>9</w:t>
            </w:r>
            <w:r w:rsidR="00A26C49">
              <w:rPr>
                <w:noProof/>
                <w:webHidden/>
              </w:rPr>
              <w:fldChar w:fldCharType="end"/>
            </w:r>
          </w:hyperlink>
        </w:p>
        <w:p w14:paraId="0B007772" w14:textId="490B847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0A5DA6">
              <w:rPr>
                <w:noProof/>
                <w:webHidden/>
              </w:rPr>
              <w:t>9</w:t>
            </w:r>
            <w:r w:rsidR="00A26C49">
              <w:rPr>
                <w:noProof/>
                <w:webHidden/>
              </w:rPr>
              <w:fldChar w:fldCharType="end"/>
            </w:r>
          </w:hyperlink>
        </w:p>
        <w:p w14:paraId="2BF30025" w14:textId="3A1AA6E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0A5DA6">
              <w:rPr>
                <w:noProof/>
                <w:webHidden/>
              </w:rPr>
              <w:t>9</w:t>
            </w:r>
            <w:r w:rsidR="00A26C49">
              <w:rPr>
                <w:noProof/>
                <w:webHidden/>
              </w:rPr>
              <w:fldChar w:fldCharType="end"/>
            </w:r>
          </w:hyperlink>
        </w:p>
        <w:p w14:paraId="24596858" w14:textId="04A480C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0A5DA6">
              <w:rPr>
                <w:noProof/>
                <w:webHidden/>
              </w:rPr>
              <w:t>11</w:t>
            </w:r>
            <w:r w:rsidR="00A26C49">
              <w:rPr>
                <w:noProof/>
                <w:webHidden/>
              </w:rPr>
              <w:fldChar w:fldCharType="end"/>
            </w:r>
          </w:hyperlink>
        </w:p>
        <w:p w14:paraId="1504CB8E" w14:textId="5FAA37C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0A5DA6">
              <w:rPr>
                <w:noProof/>
                <w:webHidden/>
              </w:rPr>
              <w:t>11</w:t>
            </w:r>
            <w:r w:rsidR="00A26C49">
              <w:rPr>
                <w:noProof/>
                <w:webHidden/>
              </w:rPr>
              <w:fldChar w:fldCharType="end"/>
            </w:r>
          </w:hyperlink>
        </w:p>
        <w:p w14:paraId="7401BEAB" w14:textId="01E9A81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0A5DA6">
              <w:rPr>
                <w:noProof/>
                <w:webHidden/>
              </w:rPr>
              <w:t>12</w:t>
            </w:r>
            <w:r w:rsidR="00A26C49">
              <w:rPr>
                <w:noProof/>
                <w:webHidden/>
              </w:rPr>
              <w:fldChar w:fldCharType="end"/>
            </w:r>
          </w:hyperlink>
        </w:p>
        <w:p w14:paraId="01FC9189" w14:textId="5AFD9B9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0A5DA6">
              <w:rPr>
                <w:noProof/>
                <w:webHidden/>
              </w:rPr>
              <w:t>12</w:t>
            </w:r>
            <w:r w:rsidR="00A26C49">
              <w:rPr>
                <w:noProof/>
                <w:webHidden/>
              </w:rPr>
              <w:fldChar w:fldCharType="end"/>
            </w:r>
          </w:hyperlink>
        </w:p>
        <w:p w14:paraId="5167E3C0" w14:textId="2EC5BAF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0A5DA6">
              <w:rPr>
                <w:noProof/>
                <w:webHidden/>
              </w:rPr>
              <w:t>12</w:t>
            </w:r>
            <w:r w:rsidR="00A26C49">
              <w:rPr>
                <w:noProof/>
                <w:webHidden/>
              </w:rPr>
              <w:fldChar w:fldCharType="end"/>
            </w:r>
          </w:hyperlink>
        </w:p>
        <w:p w14:paraId="19991253" w14:textId="5746C34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0A5DA6">
              <w:rPr>
                <w:noProof/>
                <w:webHidden/>
              </w:rPr>
              <w:t>13</w:t>
            </w:r>
            <w:r w:rsidR="00A26C49">
              <w:rPr>
                <w:noProof/>
                <w:webHidden/>
              </w:rPr>
              <w:fldChar w:fldCharType="end"/>
            </w:r>
          </w:hyperlink>
        </w:p>
        <w:p w14:paraId="2060AEE7" w14:textId="25FA18A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0A5DA6">
              <w:rPr>
                <w:noProof/>
                <w:webHidden/>
              </w:rPr>
              <w:t>14</w:t>
            </w:r>
            <w:r w:rsidR="00A26C49">
              <w:rPr>
                <w:noProof/>
                <w:webHidden/>
              </w:rPr>
              <w:fldChar w:fldCharType="end"/>
            </w:r>
          </w:hyperlink>
        </w:p>
        <w:p w14:paraId="3822A8F6" w14:textId="175CB01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0A5DA6">
              <w:rPr>
                <w:noProof/>
                <w:webHidden/>
              </w:rPr>
              <w:t>15</w:t>
            </w:r>
            <w:r w:rsidR="00A26C49">
              <w:rPr>
                <w:noProof/>
                <w:webHidden/>
              </w:rPr>
              <w:fldChar w:fldCharType="end"/>
            </w:r>
          </w:hyperlink>
        </w:p>
        <w:p w14:paraId="24B8C56D" w14:textId="0C5860C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0A5DA6">
              <w:rPr>
                <w:noProof/>
                <w:webHidden/>
              </w:rPr>
              <w:t>16</w:t>
            </w:r>
            <w:r w:rsidR="00A26C49">
              <w:rPr>
                <w:noProof/>
                <w:webHidden/>
              </w:rPr>
              <w:fldChar w:fldCharType="end"/>
            </w:r>
          </w:hyperlink>
        </w:p>
        <w:p w14:paraId="5F7ABB31" w14:textId="7DE2A68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0A5DA6">
              <w:rPr>
                <w:noProof/>
                <w:webHidden/>
              </w:rPr>
              <w:t>18</w:t>
            </w:r>
            <w:r w:rsidR="00A26C49">
              <w:rPr>
                <w:noProof/>
                <w:webHidden/>
              </w:rPr>
              <w:fldChar w:fldCharType="end"/>
            </w:r>
          </w:hyperlink>
        </w:p>
        <w:p w14:paraId="026C236B" w14:textId="53850F7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0A5DA6">
              <w:rPr>
                <w:noProof/>
                <w:webHidden/>
              </w:rPr>
              <w:t>20</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727311"/>
      <w:r w:rsidRPr="005454D9">
        <w:lastRenderedPageBreak/>
        <w:t xml:space="preserve">Tender </w:t>
      </w:r>
      <w:r w:rsidR="00525DEB" w:rsidRPr="005454D9">
        <w:t>Notice</w:t>
      </w:r>
      <w:bookmarkEnd w:id="2"/>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3DEB2D68"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5B0514">
        <w:rPr>
          <w:rFonts w:ascii="Arial Narrow" w:hAnsi="Arial Narrow"/>
          <w:b/>
          <w:sz w:val="32"/>
          <w:szCs w:val="24"/>
        </w:rPr>
        <w:t>6</w:t>
      </w:r>
      <w:r w:rsidR="00847DCC">
        <w:rPr>
          <w:rFonts w:ascii="Arial Narrow" w:hAnsi="Arial Narrow"/>
          <w:b/>
          <w:sz w:val="32"/>
          <w:szCs w:val="24"/>
        </w:rPr>
        <w:t>4</w:t>
      </w:r>
      <w:r w:rsidRPr="005925AE">
        <w:rPr>
          <w:rFonts w:ascii="Arial Narrow" w:hAnsi="Arial Narrow"/>
          <w:b/>
          <w:sz w:val="32"/>
          <w:szCs w:val="24"/>
        </w:rPr>
        <w:t>)</w:t>
      </w:r>
      <w:r w:rsidR="00E602E4">
        <w:rPr>
          <w:rFonts w:ascii="Arial Narrow" w:hAnsi="Arial Narrow"/>
          <w:b/>
          <w:sz w:val="32"/>
          <w:szCs w:val="24"/>
        </w:rPr>
        <w:t xml:space="preserve"> </w:t>
      </w:r>
      <w:r w:rsidR="00F50A79">
        <w:rPr>
          <w:rFonts w:ascii="Arial Narrow" w:hAnsi="Arial Narrow"/>
          <w:b/>
          <w:sz w:val="32"/>
          <w:szCs w:val="24"/>
        </w:rPr>
        <w:t>9</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655D8F2" w14:textId="569EC05B" w:rsidR="00321B45" w:rsidRDefault="00847DCC" w:rsidP="00321B45">
      <w:pPr>
        <w:spacing w:after="0" w:line="240" w:lineRule="auto"/>
        <w:ind w:left="0" w:right="65" w:firstLine="0"/>
        <w:jc w:val="center"/>
        <w:rPr>
          <w:rFonts w:ascii="Arial Narrow" w:hAnsi="Arial Narrow"/>
          <w:b/>
          <w:sz w:val="36"/>
          <w:szCs w:val="36"/>
        </w:rPr>
      </w:pPr>
      <w:r w:rsidRPr="00847DCC">
        <w:rPr>
          <w:rFonts w:ascii="Arial Narrow" w:hAnsi="Arial Narrow"/>
          <w:b/>
          <w:sz w:val="36"/>
          <w:szCs w:val="36"/>
        </w:rPr>
        <w:t>Supply of New Furniture</w:t>
      </w:r>
    </w:p>
    <w:p w14:paraId="08602BFD" w14:textId="77777777" w:rsidR="00847DCC" w:rsidRPr="006E36E6" w:rsidRDefault="00847DCC" w:rsidP="00321B45">
      <w:pPr>
        <w:spacing w:after="0" w:line="240" w:lineRule="auto"/>
        <w:ind w:left="0" w:right="65" w:firstLine="0"/>
        <w:jc w:val="center"/>
        <w:rPr>
          <w:rFonts w:ascii="Arial Narrow" w:hAnsi="Arial Narrow"/>
          <w:b/>
          <w:sz w:val="36"/>
          <w:szCs w:val="36"/>
        </w:rPr>
      </w:pPr>
    </w:p>
    <w:p w14:paraId="36709DD9" w14:textId="5B8939FF" w:rsidR="00321B45" w:rsidRPr="005925AE" w:rsidRDefault="0052736D" w:rsidP="00321B45">
      <w:pPr>
        <w:numPr>
          <w:ilvl w:val="0"/>
          <w:numId w:val="1"/>
        </w:numPr>
        <w:spacing w:after="0" w:line="360" w:lineRule="auto"/>
        <w:ind w:left="180" w:right="-205" w:hanging="452"/>
        <w:rPr>
          <w:rFonts w:ascii="Arial Narrow" w:hAnsi="Arial Narrow"/>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GST), for</w:t>
      </w:r>
      <w:r w:rsidRPr="00691F84">
        <w:t xml:space="preserve"> </w:t>
      </w:r>
      <w:r w:rsidR="00847DCC" w:rsidRPr="00847DCC">
        <w:rPr>
          <w:rFonts w:ascii="Arial Narrow" w:hAnsi="Arial Narrow"/>
          <w:b/>
          <w:color w:val="000000" w:themeColor="text1"/>
        </w:rPr>
        <w:t xml:space="preserve">Supply of New Furniture </w:t>
      </w:r>
      <w:r>
        <w:rPr>
          <w:rFonts w:ascii="Arial Narrow" w:hAnsi="Arial Narrow"/>
          <w:b/>
          <w:color w:val="000000" w:themeColor="text1"/>
        </w:rPr>
        <w:t>t</w:t>
      </w:r>
      <w:r w:rsidRPr="002F0110">
        <w:rPr>
          <w:rFonts w:ascii="Arial Narrow" w:hAnsi="Arial Narrow"/>
          <w:b/>
          <w:color w:val="000000" w:themeColor="text1"/>
        </w:rPr>
        <w:t xml:space="preserve">o CUI </w:t>
      </w:r>
      <w:r>
        <w:rPr>
          <w:rFonts w:ascii="Arial Narrow" w:hAnsi="Arial Narrow"/>
          <w:b/>
          <w:color w:val="000000" w:themeColor="text1"/>
        </w:rPr>
        <w:t>,</w:t>
      </w:r>
      <w:r w:rsidRPr="002F0110">
        <w:rPr>
          <w:rFonts w:ascii="Arial Narrow" w:hAnsi="Arial Narrow"/>
          <w:b/>
          <w:color w:val="000000" w:themeColor="text1"/>
        </w:rPr>
        <w:t>Park Road, Islamabad</w:t>
      </w:r>
      <w:r w:rsidR="00321B45" w:rsidRPr="005925AE">
        <w:rPr>
          <w:rFonts w:ascii="Arial Narrow" w:hAnsi="Arial Narrow"/>
          <w:b/>
        </w:rPr>
        <w:t xml:space="preserve">. </w:t>
      </w:r>
      <w:r w:rsidR="00321B45" w:rsidRPr="005925AE">
        <w:rPr>
          <w:rFonts w:ascii="Arial Narrow" w:hAnsi="Arial Narrow"/>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6DF7F7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847DCC">
        <w:rPr>
          <w:rFonts w:ascii="Arial Narrow" w:hAnsi="Arial Narrow"/>
          <w:b/>
        </w:rPr>
        <w:t>20</w:t>
      </w:r>
      <w:r w:rsidR="00BB2DCB">
        <w:rPr>
          <w:rFonts w:ascii="Arial Narrow" w:hAnsi="Arial Narrow"/>
          <w:b/>
        </w:rPr>
        <w:t>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007C56B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58F08191"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B154BA">
        <w:rPr>
          <w:rFonts w:ascii="Arial Narrow" w:hAnsi="Arial Narrow"/>
          <w:b/>
          <w:bCs/>
          <w:color w:val="auto"/>
        </w:rPr>
        <w:t>September</w:t>
      </w:r>
      <w:r w:rsidR="008122FD">
        <w:rPr>
          <w:rFonts w:ascii="Arial Narrow" w:hAnsi="Arial Narrow"/>
          <w:b/>
          <w:bCs/>
          <w:color w:val="auto"/>
        </w:rPr>
        <w:t xml:space="preserve"> </w:t>
      </w:r>
      <w:r w:rsidR="00F50A79">
        <w:rPr>
          <w:rFonts w:ascii="Arial Narrow" w:hAnsi="Arial Narrow"/>
          <w:b/>
          <w:bCs/>
          <w:color w:val="auto"/>
        </w:rPr>
        <w:t>12</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3"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4" w:name="_Toc137727313"/>
      <w:r w:rsidRPr="005925AE">
        <w:t>Contact person</w:t>
      </w:r>
      <w:r w:rsidR="002F7664" w:rsidRPr="005925AE">
        <w:t xml:space="preserve"> and Submission of Bids:</w:t>
      </w:r>
      <w:bookmarkEnd w:id="4"/>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5" w:name="_Toc137727314"/>
      <w:r>
        <w:t>Validity of Bids:</w:t>
      </w:r>
      <w:bookmarkEnd w:id="5"/>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A33EEB1"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A952C3">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6" w:name="_Toc137727315"/>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7" w:name="_Toc137727316"/>
      <w:r w:rsidRPr="005925AE">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2077BD9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8"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9" w:name="_Toc137727318"/>
      <w:r w:rsidRPr="005925AE">
        <w:t>Amendment of Bidding Documents:</w:t>
      </w:r>
      <w:bookmarkEnd w:id="9"/>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0" w:name="_Toc137727319"/>
      <w:r w:rsidRPr="005925AE">
        <w:t>Clarification of Bidding Document:</w:t>
      </w:r>
      <w:bookmarkEnd w:id="10"/>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1" w:name="_Toc137727320"/>
      <w:r w:rsidRPr="005925AE">
        <w:lastRenderedPageBreak/>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2" w:name="_Toc137727321"/>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3" w:name="_Toc137727322"/>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4" w:name="_Toc137727323"/>
      <w:r w:rsidRPr="005925AE">
        <w:t>Opening of Bid</w:t>
      </w:r>
      <w:r w:rsidR="00924D78" w:rsidRPr="005925AE">
        <w:t>s</w:t>
      </w:r>
      <w:r w:rsidR="00DD5276" w:rsidRPr="005925AE">
        <w:t>:</w:t>
      </w:r>
      <w:bookmarkEnd w:id="14"/>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5" w:name="_Toc137727324"/>
      <w:r w:rsidRPr="005925AE">
        <w:t>Influencing the evaluation process:</w:t>
      </w:r>
      <w:bookmarkEnd w:id="15"/>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6" w:name="_Toc137727325"/>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7" w:name="_Toc137727326"/>
      <w:r w:rsidRPr="005925AE">
        <w:t>Qualification &amp; Evaluation of Bids</w:t>
      </w:r>
      <w:r w:rsidR="00CA240E" w:rsidRPr="005925AE">
        <w:t>:</w:t>
      </w:r>
      <w:bookmarkEnd w:id="17"/>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8" w:name="_Toc136259001"/>
      <w:bookmarkStart w:id="19" w:name="_Toc136595251"/>
      <w:bookmarkStart w:id="20" w:name="_Toc137727327"/>
      <w:r w:rsidRPr="005925AE">
        <w:t>Corrupt or Fraudulent Practices</w:t>
      </w:r>
      <w:r>
        <w:t xml:space="preserve"> &amp; Blacklisting</w:t>
      </w:r>
      <w:r w:rsidRPr="005925AE">
        <w:t>:</w:t>
      </w:r>
      <w:bookmarkEnd w:id="18"/>
      <w:bookmarkEnd w:id="19"/>
      <w:bookmarkEnd w:id="20"/>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1" w:name="_Toc137727328"/>
      <w:r w:rsidRPr="005925AE">
        <w:t>CUI</w:t>
      </w:r>
      <w:r w:rsidR="00377C6E" w:rsidRPr="005925AE">
        <w:t>’s 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2" w:name="_Toc137727329"/>
      <w:r w:rsidRPr="005925AE">
        <w:lastRenderedPageBreak/>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3" w:name="_Toc137727330"/>
      <w:r w:rsidRPr="005925AE">
        <w:t>Issuance of Contract</w:t>
      </w:r>
      <w:r w:rsidR="00A6720A">
        <w:t>/Work Order/Purchase Order</w:t>
      </w:r>
      <w:r w:rsidR="003E60FC" w:rsidRPr="005925AE">
        <w:t>:</w:t>
      </w:r>
      <w:bookmarkEnd w:id="23"/>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4" w:name="_Toc137727331"/>
      <w:r>
        <w:t>Delivery Information:</w:t>
      </w:r>
      <w:bookmarkEnd w:id="24"/>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5" w:name="_Toc137727332"/>
      <w:r>
        <w:t>Legal Document</w:t>
      </w:r>
      <w:bookmarkEnd w:id="25"/>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6" w:name="_Toc137727333"/>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7" w:name="_Toc137727334"/>
      <w:r w:rsidRPr="005925AE">
        <w:lastRenderedPageBreak/>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07AB83D7" w:rsidR="00DF5E62" w:rsidRPr="00C5422E" w:rsidRDefault="001B0D68" w:rsidP="001B0D68">
            <w:pPr>
              <w:spacing w:after="0" w:line="240" w:lineRule="auto"/>
              <w:ind w:left="0" w:firstLine="0"/>
              <w:jc w:val="left"/>
              <w:rPr>
                <w:rFonts w:ascii="Arial Narrow" w:hAnsi="Arial Narrow"/>
              </w:rPr>
            </w:pPr>
            <w:r w:rsidRPr="00071B56">
              <w:rPr>
                <w:rFonts w:ascii="Arial Narrow" w:hAnsi="Arial Narrow"/>
                <w:color w:val="000000" w:themeColor="text1"/>
              </w:rPr>
              <w:t xml:space="preserve">.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062528">
            <w:pPr>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062528">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B154BA" w:rsidRPr="00C5422E" w14:paraId="49562289"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8A56595" w14:textId="77777777" w:rsidR="00B154BA" w:rsidRPr="00C5422E" w:rsidRDefault="00B154BA"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36B41D" w14:textId="47AEAA61" w:rsidR="00B154BA" w:rsidRPr="009A7124" w:rsidRDefault="00B154BA" w:rsidP="00062528">
            <w:pPr>
              <w:rPr>
                <w:rFonts w:ascii="Arial Narrow" w:hAnsi="Arial Narrow"/>
                <w:b/>
                <w:bCs/>
                <w:spacing w:val="14"/>
              </w:rPr>
            </w:pPr>
            <w:r>
              <w:rPr>
                <w:rFonts w:ascii="Arial Narrow" w:hAnsi="Arial Narrow"/>
                <w:b/>
                <w:bCs/>
                <w:spacing w:val="14"/>
              </w:rPr>
              <w:t>One Sample is mandatory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9A86BBD" w14:textId="0EAB4FDB" w:rsidR="00B154BA" w:rsidRPr="009A7124" w:rsidRDefault="00B154BA" w:rsidP="00062528">
            <w:pPr>
              <w:spacing w:after="0" w:line="240" w:lineRule="auto"/>
              <w:ind w:left="80" w:firstLine="0"/>
              <w:jc w:val="center"/>
              <w:rPr>
                <w:rFonts w:ascii="Arial Narrow" w:hAnsi="Arial Narrow"/>
                <w:b/>
                <w:bCs/>
                <w:color w:val="auto"/>
                <w:spacing w:val="8"/>
              </w:rPr>
            </w:pPr>
            <w:r>
              <w:rPr>
                <w:rFonts w:ascii="Arial Narrow" w:hAnsi="Arial Narrow"/>
                <w:b/>
                <w:bCs/>
                <w:color w:val="auto"/>
                <w:spacing w:val="8"/>
              </w:rPr>
              <w:t>Pass/ Fail</w:t>
            </w:r>
          </w:p>
        </w:tc>
        <w:tc>
          <w:tcPr>
            <w:tcW w:w="1984" w:type="dxa"/>
            <w:tcBorders>
              <w:top w:val="single" w:sz="4" w:space="0" w:color="000000"/>
              <w:left w:val="single" w:sz="4" w:space="0" w:color="000000"/>
              <w:bottom w:val="single" w:sz="4" w:space="0" w:color="000000"/>
              <w:right w:val="single" w:sz="4" w:space="0" w:color="000000"/>
            </w:tcBorders>
          </w:tcPr>
          <w:p w14:paraId="4D3A1C22" w14:textId="2A9129CC" w:rsidR="00B154BA" w:rsidRPr="00236C98" w:rsidRDefault="00B154BA"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0C40A7C8" w14:textId="77777777" w:rsid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p>
    <w:p w14:paraId="09016076" w14:textId="77777777" w:rsidR="000A5DA6" w:rsidRDefault="000A5DA6" w:rsidP="000A5DA6">
      <w:pPr>
        <w:numPr>
          <w:ilvl w:val="0"/>
          <w:numId w:val="33"/>
        </w:numPr>
        <w:spacing w:after="220" w:line="244" w:lineRule="auto"/>
        <w:rPr>
          <w:rFonts w:ascii="Arial Narrow" w:eastAsia="Cooper" w:hAnsi="Arial Narrow" w:cs="Cooper"/>
          <w:bCs/>
        </w:rPr>
      </w:pPr>
      <w:r>
        <w:rPr>
          <w:rFonts w:ascii="Arial Narrow" w:hAnsi="Arial Narrow"/>
          <w:bCs/>
          <w:sz w:val="24"/>
          <w:szCs w:val="24"/>
        </w:rPr>
        <w:t>A technical Committee will review the samples. The decision of the technical Committee will be final and binding on the bidders. Rejection of the sample by the technical committee will lead to disqualification of the bid</w:t>
      </w:r>
      <w:r>
        <w:rPr>
          <w:rFonts w:ascii="Arial Narrow" w:hAnsi="Arial Narrow"/>
          <w:bCs/>
        </w:rPr>
        <w:t>.</w:t>
      </w:r>
    </w:p>
    <w:p w14:paraId="53B05110" w14:textId="77777777" w:rsidR="000A5DA6" w:rsidRPr="005C244F" w:rsidRDefault="000A5DA6" w:rsidP="000A5DA6">
      <w:pPr>
        <w:pStyle w:val="ListParagraph"/>
        <w:spacing w:after="20" w:line="276" w:lineRule="auto"/>
        <w:rPr>
          <w:rFonts w:ascii="Arial Narrow" w:hAnsi="Arial Narrow"/>
          <w:bCs/>
          <w:iCs/>
          <w:szCs w:val="24"/>
        </w:rPr>
      </w:pPr>
    </w:p>
    <w:p w14:paraId="14169285" w14:textId="77777777" w:rsidR="00D1724F" w:rsidRPr="005925AE" w:rsidRDefault="00525DEB" w:rsidP="005C244F">
      <w:pPr>
        <w:spacing w:after="0" w:line="240" w:lineRule="auto"/>
        <w:ind w:left="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3A59FB7" w14:textId="7EC1C0CC" w:rsidR="00573194" w:rsidRPr="00BF7822"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lastRenderedPageBreak/>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p>
    <w:p w14:paraId="2EFA305F" w14:textId="77777777" w:rsidR="00BF7822" w:rsidRDefault="00BF7822" w:rsidP="00BF7822">
      <w:pPr>
        <w:spacing w:after="0" w:line="276" w:lineRule="auto"/>
        <w:rPr>
          <w:rFonts w:ascii="Arial Narrow" w:hAnsi="Arial Narrow"/>
          <w:b/>
          <w:iCs/>
          <w:color w:val="C00000"/>
          <w:spacing w:val="6"/>
          <w:sz w:val="24"/>
          <w:szCs w:val="24"/>
        </w:rPr>
      </w:pPr>
    </w:p>
    <w:p w14:paraId="21AD04E2" w14:textId="77777777" w:rsidR="00BF7822" w:rsidRPr="00D44428" w:rsidRDefault="00BF7822" w:rsidP="00BF7822">
      <w:pPr>
        <w:spacing w:after="0" w:line="276" w:lineRule="auto"/>
        <w:rPr>
          <w:rFonts w:ascii="Arial Narrow" w:hAnsi="Arial Narrow"/>
          <w:b/>
          <w:iCs/>
          <w:color w:val="C00000"/>
          <w:spacing w:val="6"/>
          <w:sz w:val="24"/>
          <w:szCs w:val="24"/>
        </w:rPr>
      </w:pPr>
    </w:p>
    <w:p w14:paraId="650230E9" w14:textId="77777777" w:rsidR="002F3791" w:rsidRDefault="00611054" w:rsidP="00D91F22">
      <w:pPr>
        <w:pStyle w:val="Qasim"/>
        <w:ind w:left="0" w:right="65" w:firstLine="0"/>
        <w:jc w:val="center"/>
      </w:pPr>
      <w:bookmarkStart w:id="29" w:name="_Toc137727335"/>
      <w:r w:rsidRPr="005925AE">
        <w:t>FINANCIAL PROPOSAL</w:t>
      </w:r>
      <w:bookmarkEnd w:id="29"/>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53E49610" w:rsidR="00072875" w:rsidRPr="00321B45" w:rsidRDefault="00BB2DCB" w:rsidP="00072875">
      <w:pPr>
        <w:spacing w:after="160" w:line="259" w:lineRule="auto"/>
        <w:ind w:left="0" w:firstLine="0"/>
        <w:jc w:val="center"/>
        <w:rPr>
          <w:rFonts w:ascii="Arial Narrow" w:hAnsi="Arial Narrow"/>
          <w:b/>
          <w:sz w:val="36"/>
          <w:szCs w:val="36"/>
          <w:u w:color="000000"/>
        </w:rPr>
      </w:pPr>
      <w:r w:rsidRPr="00BB2DCB">
        <w:rPr>
          <w:rFonts w:ascii="Arial Narrow" w:hAnsi="Arial Narrow"/>
          <w:b/>
          <w:sz w:val="36"/>
          <w:szCs w:val="36"/>
          <w:u w:color="000000"/>
        </w:rPr>
        <w:t xml:space="preserve">Supply of </w:t>
      </w:r>
      <w:r w:rsidR="00952916">
        <w:rPr>
          <w:rFonts w:ascii="Arial Narrow" w:hAnsi="Arial Narrow"/>
          <w:b/>
          <w:sz w:val="36"/>
          <w:szCs w:val="36"/>
          <w:u w:color="000000"/>
        </w:rPr>
        <w:t>New Furniture</w:t>
      </w:r>
      <w:r w:rsidRPr="00BB2DCB">
        <w:rPr>
          <w:rFonts w:ascii="Arial Narrow" w:hAnsi="Arial Narrow"/>
          <w:b/>
          <w:sz w:val="36"/>
          <w:szCs w:val="36"/>
          <w:u w:color="000000"/>
        </w:rPr>
        <w:t xml:space="preserve"> </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1B6C50">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30" w:name="RANGE!A4:H42"/>
            <w:r w:rsidRPr="007C12BA">
              <w:rPr>
                <w:rFonts w:ascii="Arial Narrow" w:eastAsia="Times New Roman" w:hAnsi="Arial Narrow"/>
                <w:b/>
                <w:bCs/>
                <w:color w:val="auto"/>
                <w:sz w:val="20"/>
                <w:szCs w:val="20"/>
              </w:rPr>
              <w:t>SN</w:t>
            </w:r>
            <w:bookmarkEnd w:id="30"/>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BC00B5" w:rsidRPr="007C12BA" w14:paraId="7EE99A80" w14:textId="77777777" w:rsidTr="00BC00B5">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4BFCAA2" w14:textId="1B4F3F9C" w:rsidR="00BC00B5" w:rsidRPr="007C12BA" w:rsidRDefault="00BC00B5" w:rsidP="00BC00B5">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C88CE86" w14:textId="77777777" w:rsidR="00BC00B5" w:rsidRDefault="00BC00B5" w:rsidP="00BC00B5">
            <w:pPr>
              <w:spacing w:after="0" w:line="276" w:lineRule="auto"/>
              <w:contextualSpacing/>
              <w:jc w:val="left"/>
              <w:rPr>
                <w:rFonts w:ascii="Arial Narrow" w:hAnsi="Arial Narrow"/>
                <w:b/>
                <w:bCs/>
                <w:spacing w:val="8"/>
              </w:rPr>
            </w:pPr>
            <w:r w:rsidRPr="009A7124">
              <w:rPr>
                <w:rFonts w:ascii="Arial Narrow" w:hAnsi="Arial Narrow"/>
                <w:b/>
                <w:bCs/>
                <w:spacing w:val="8"/>
              </w:rPr>
              <w:t>Alexa Double Desk with 2 Chairs</w:t>
            </w:r>
          </w:p>
          <w:p w14:paraId="0767C426" w14:textId="77777777" w:rsidR="00BC00B5" w:rsidRPr="009A7124" w:rsidRDefault="00BC00B5" w:rsidP="00BC00B5">
            <w:pPr>
              <w:spacing w:after="0" w:line="276" w:lineRule="auto"/>
              <w:contextualSpacing/>
              <w:jc w:val="left"/>
              <w:rPr>
                <w:rFonts w:ascii="Arial Narrow" w:hAnsi="Arial Narrow"/>
                <w:b/>
                <w:bCs/>
                <w:spacing w:val="8"/>
              </w:rPr>
            </w:pPr>
          </w:p>
          <w:p w14:paraId="32DC94A3" w14:textId="77777777" w:rsidR="00BC00B5" w:rsidRPr="009A7124" w:rsidRDefault="00BC00B5" w:rsidP="00BC00B5">
            <w:pPr>
              <w:spacing w:after="0" w:line="276" w:lineRule="auto"/>
              <w:contextualSpacing/>
              <w:jc w:val="left"/>
              <w:rPr>
                <w:rFonts w:ascii="Arial Narrow" w:hAnsi="Arial Narrow"/>
                <w:spacing w:val="8"/>
              </w:rPr>
            </w:pPr>
            <w:r w:rsidRPr="009A7124">
              <w:rPr>
                <w:rFonts w:ascii="Arial Narrow" w:hAnsi="Arial Narrow"/>
                <w:spacing w:val="8"/>
              </w:rPr>
              <w:t xml:space="preserve"> </w:t>
            </w:r>
            <w:r w:rsidRPr="009A7124">
              <w:rPr>
                <w:rFonts w:ascii="Arial Narrow" w:hAnsi="Arial Narrow"/>
                <w:b/>
                <w:bCs/>
                <w:spacing w:val="8"/>
              </w:rPr>
              <w:t>Desk Size</w:t>
            </w:r>
            <w:r w:rsidRPr="009A7124">
              <w:rPr>
                <w:rFonts w:ascii="Arial Narrow" w:hAnsi="Arial Narrow"/>
                <w:spacing w:val="8"/>
              </w:rPr>
              <w:t xml:space="preserve"> L1400 x D500 x 750 mm H</w:t>
            </w:r>
          </w:p>
          <w:p w14:paraId="533EF8D8" w14:textId="77777777" w:rsidR="00BC00B5" w:rsidRPr="009A7124" w:rsidRDefault="00BC00B5" w:rsidP="00BC00B5">
            <w:pPr>
              <w:spacing w:after="0" w:line="276" w:lineRule="auto"/>
              <w:contextualSpacing/>
              <w:jc w:val="left"/>
              <w:rPr>
                <w:rFonts w:ascii="Arial Narrow" w:hAnsi="Arial Narrow"/>
                <w:spacing w:val="8"/>
              </w:rPr>
            </w:pPr>
            <w:r>
              <w:rPr>
                <w:rFonts w:ascii="Arial Narrow" w:hAnsi="Arial Narrow"/>
                <w:b/>
                <w:bCs/>
                <w:spacing w:val="8"/>
              </w:rPr>
              <w:tab/>
              <w:t xml:space="preserve"> </w:t>
            </w:r>
            <w:r w:rsidRPr="009A7124">
              <w:rPr>
                <w:rFonts w:ascii="Arial Narrow" w:hAnsi="Arial Narrow"/>
                <w:b/>
                <w:bCs/>
                <w:spacing w:val="8"/>
              </w:rPr>
              <w:t>Chair Size:</w:t>
            </w:r>
            <w:r w:rsidRPr="009A7124">
              <w:rPr>
                <w:rFonts w:ascii="Arial Narrow" w:hAnsi="Arial Narrow"/>
                <w:spacing w:val="8"/>
              </w:rPr>
              <w:t xml:space="preserve"> Large (18 “x 18” seat height 18” inch H)</w:t>
            </w:r>
          </w:p>
          <w:p w14:paraId="31DD692F" w14:textId="77777777" w:rsidR="00BC00B5" w:rsidRPr="009A7124" w:rsidRDefault="00BC00B5" w:rsidP="00BC00B5">
            <w:pPr>
              <w:spacing w:after="0" w:line="276" w:lineRule="auto"/>
              <w:contextualSpacing/>
              <w:jc w:val="left"/>
              <w:rPr>
                <w:rFonts w:ascii="Arial Narrow" w:hAnsi="Arial Narrow"/>
                <w:spacing w:val="8"/>
              </w:rPr>
            </w:pPr>
            <w:r w:rsidRPr="009A7124">
              <w:rPr>
                <w:rFonts w:ascii="Arial Narrow" w:hAnsi="Arial Narrow"/>
                <w:spacing w:val="8"/>
              </w:rPr>
              <w:t>Desktop to be made of MDF Board with polished edges, base to be made of MS Round pipe powder coated finish having 1 Shelve Having</w:t>
            </w:r>
          </w:p>
          <w:p w14:paraId="16190D70" w14:textId="77777777" w:rsidR="00BC00B5" w:rsidRDefault="00BC00B5" w:rsidP="00BC00B5">
            <w:pPr>
              <w:spacing w:after="0" w:line="276" w:lineRule="auto"/>
              <w:ind w:left="33" w:firstLine="0"/>
              <w:contextualSpacing/>
              <w:jc w:val="left"/>
              <w:rPr>
                <w:rFonts w:ascii="Arial Narrow" w:hAnsi="Arial Narrow"/>
                <w:spacing w:val="8"/>
              </w:rPr>
            </w:pPr>
            <w:r w:rsidRPr="009A7124">
              <w:rPr>
                <w:rFonts w:ascii="Arial Narrow" w:hAnsi="Arial Narrow"/>
                <w:spacing w:val="8"/>
              </w:rPr>
              <w:t xml:space="preserve">Chair seat &amp; back to be made of MDF Board with polished edges. Base to be made of round </w:t>
            </w:r>
            <w:r>
              <w:rPr>
                <w:rFonts w:ascii="Arial Narrow" w:hAnsi="Arial Narrow"/>
                <w:spacing w:val="8"/>
              </w:rPr>
              <w:t xml:space="preserve">18 guage </w:t>
            </w:r>
            <w:r w:rsidRPr="009A7124">
              <w:rPr>
                <w:rFonts w:ascii="Arial Narrow" w:hAnsi="Arial Narrow"/>
                <w:spacing w:val="8"/>
              </w:rPr>
              <w:t>pipe. Powder coated finish.</w:t>
            </w:r>
          </w:p>
          <w:p w14:paraId="1CCD6326" w14:textId="5A25419A" w:rsidR="00BC00B5" w:rsidRPr="007C12BA" w:rsidRDefault="00F50A79" w:rsidP="00BC00B5">
            <w:pPr>
              <w:spacing w:after="0" w:line="240" w:lineRule="auto"/>
              <w:ind w:left="0" w:firstLine="0"/>
              <w:jc w:val="center"/>
              <w:rPr>
                <w:rFonts w:ascii="Arial Narrow" w:eastAsia="Times New Roman" w:hAnsi="Arial Narrow"/>
                <w:b/>
                <w:bCs/>
                <w:color w:val="auto"/>
                <w:sz w:val="20"/>
                <w:szCs w:val="20"/>
              </w:rPr>
            </w:pPr>
            <w:r>
              <w:rPr>
                <w:rFonts w:ascii="Arial Narrow" w:hAnsi="Arial Narrow"/>
                <w:spacing w:val="8"/>
              </w:rPr>
              <w:pict w14:anchorId="41B51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72.5pt">
                  <v:imagedata r:id="rId10" o:title="IMG_20230609_122307_772"/>
                </v:shape>
              </w:pic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E61686C" w14:textId="7119E02F" w:rsidR="00BC00B5" w:rsidRPr="007C12BA" w:rsidRDefault="008F7F4E" w:rsidP="00BC00B5">
            <w:pPr>
              <w:spacing w:after="0" w:line="240" w:lineRule="auto"/>
              <w:ind w:left="0" w:firstLine="0"/>
              <w:jc w:val="center"/>
              <w:rPr>
                <w:rFonts w:ascii="Arial Narrow" w:eastAsia="Times New Roman" w:hAnsi="Arial Narrow"/>
                <w:b/>
                <w:bCs/>
                <w:color w:val="auto"/>
                <w:sz w:val="20"/>
                <w:szCs w:val="20"/>
              </w:rPr>
            </w:pPr>
            <w:r w:rsidRPr="009A7124">
              <w:rPr>
                <w:rFonts w:ascii="Arial Narrow" w:hAnsi="Arial Narrow"/>
                <w:spacing w:val="8"/>
              </w:rPr>
              <w:t>250 Set (2 Chair x 1 Table)</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9EFB2E1" w14:textId="77777777" w:rsidR="00BC00B5" w:rsidRPr="007C12BA" w:rsidRDefault="00BC00B5" w:rsidP="00BC00B5">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BAE2BB2" w14:textId="77777777" w:rsidR="00BC00B5" w:rsidRPr="007C12BA" w:rsidRDefault="00BC00B5" w:rsidP="00BC00B5">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3CF09DB" w14:textId="77777777" w:rsidR="00BC00B5" w:rsidRPr="007C12BA" w:rsidRDefault="00BC00B5" w:rsidP="00BC00B5">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8B9E742" w14:textId="77777777" w:rsidR="00BC00B5" w:rsidRPr="007C12BA" w:rsidRDefault="00BC00B5" w:rsidP="00BC00B5">
            <w:pPr>
              <w:spacing w:after="0" w:line="240" w:lineRule="auto"/>
              <w:ind w:left="0" w:firstLine="0"/>
              <w:jc w:val="center"/>
              <w:rPr>
                <w:rFonts w:ascii="Arial Narrow" w:eastAsia="Times New Roman" w:hAnsi="Arial Narrow"/>
                <w:b/>
                <w:bCs/>
                <w:color w:val="auto"/>
                <w:sz w:val="20"/>
                <w:szCs w:val="20"/>
              </w:rPr>
            </w:pPr>
          </w:p>
        </w:tc>
      </w:tr>
      <w:tr w:rsidR="00BC00B5" w:rsidRPr="000C3D6E" w14:paraId="22FAD7ED" w14:textId="77777777" w:rsidTr="001B6C50">
        <w:trPr>
          <w:trHeight w:val="576"/>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C00B5" w:rsidRPr="000C3D6E" w:rsidRDefault="00BC00B5" w:rsidP="00BC00B5">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C00B5" w:rsidRPr="000C3D6E" w:rsidRDefault="00BC00B5" w:rsidP="00BC00B5">
            <w:pPr>
              <w:spacing w:after="0" w:line="240" w:lineRule="auto"/>
              <w:ind w:left="0" w:firstLine="0"/>
              <w:jc w:val="center"/>
              <w:rPr>
                <w:rFonts w:ascii="Arial Narrow" w:eastAsia="Times New Roman" w:hAnsi="Arial Narrow"/>
                <w:color w:val="auto"/>
              </w:rPr>
            </w:pPr>
          </w:p>
        </w:tc>
      </w:tr>
    </w:tbl>
    <w:p w14:paraId="5F38006B" w14:textId="77777777" w:rsidR="005F4FF2" w:rsidRPr="00E72BFF" w:rsidRDefault="005F4FF2"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lastRenderedPageBreak/>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Default="00611054" w:rsidP="003521F6"/>
    <w:p w14:paraId="3AB17347" w14:textId="77777777" w:rsidR="00963473" w:rsidRDefault="00963473" w:rsidP="003521F6"/>
    <w:p w14:paraId="52CF1406" w14:textId="77777777" w:rsidR="00963473" w:rsidRDefault="00963473" w:rsidP="003521F6"/>
    <w:p w14:paraId="79190E25" w14:textId="77777777" w:rsidR="00963473" w:rsidRDefault="00963473" w:rsidP="003521F6"/>
    <w:p w14:paraId="36DCA3E8" w14:textId="77777777" w:rsidR="00963473" w:rsidRDefault="00963473" w:rsidP="003521F6"/>
    <w:p w14:paraId="36FD63B7" w14:textId="77777777" w:rsidR="00963473" w:rsidRDefault="00963473" w:rsidP="003521F6"/>
    <w:p w14:paraId="2E3A346A" w14:textId="77777777" w:rsidR="00963473" w:rsidRDefault="00963473" w:rsidP="003521F6"/>
    <w:p w14:paraId="0861000D" w14:textId="77777777" w:rsidR="00963473" w:rsidRDefault="00963473" w:rsidP="003521F6"/>
    <w:p w14:paraId="57F7DEC8" w14:textId="77777777" w:rsidR="00963473" w:rsidRDefault="00963473" w:rsidP="003521F6"/>
    <w:p w14:paraId="3A7170E7" w14:textId="77777777" w:rsidR="00963473" w:rsidRDefault="00963473" w:rsidP="003521F6"/>
    <w:p w14:paraId="772058D2" w14:textId="77777777" w:rsidR="00963473" w:rsidRDefault="00963473" w:rsidP="003521F6"/>
    <w:p w14:paraId="56A0A8DD" w14:textId="77777777" w:rsidR="00963473" w:rsidRDefault="00963473" w:rsidP="003521F6"/>
    <w:p w14:paraId="1D9D4ADD" w14:textId="77777777" w:rsidR="00963473" w:rsidRDefault="00963473" w:rsidP="003521F6"/>
    <w:p w14:paraId="55266C58" w14:textId="77777777" w:rsidR="00963473" w:rsidRDefault="00963473" w:rsidP="003521F6"/>
    <w:p w14:paraId="6392C6F2" w14:textId="77777777" w:rsidR="00963473" w:rsidRDefault="00963473" w:rsidP="003521F6"/>
    <w:p w14:paraId="6FA015ED" w14:textId="77777777" w:rsidR="00963473" w:rsidRDefault="00963473" w:rsidP="003521F6"/>
    <w:p w14:paraId="181511EF" w14:textId="77777777" w:rsidR="00963473" w:rsidRDefault="00963473" w:rsidP="003521F6"/>
    <w:p w14:paraId="60DB14FA" w14:textId="77777777" w:rsidR="00963473" w:rsidRDefault="00963473" w:rsidP="003521F6"/>
    <w:p w14:paraId="652ACB61" w14:textId="77777777" w:rsidR="00963473" w:rsidRDefault="00963473" w:rsidP="003521F6"/>
    <w:p w14:paraId="759553D1" w14:textId="77777777" w:rsidR="00963473" w:rsidRDefault="00963473" w:rsidP="003521F6"/>
    <w:p w14:paraId="4B51DBCA" w14:textId="77777777" w:rsidR="00963473" w:rsidRDefault="00963473" w:rsidP="003521F6"/>
    <w:p w14:paraId="12A7E83F" w14:textId="77777777" w:rsidR="00963473" w:rsidRDefault="00963473" w:rsidP="003521F6"/>
    <w:p w14:paraId="5A763A3A" w14:textId="77777777" w:rsidR="00963473" w:rsidRDefault="00963473" w:rsidP="003521F6"/>
    <w:p w14:paraId="56EC0405" w14:textId="77777777" w:rsidR="00963473" w:rsidRDefault="00963473" w:rsidP="003521F6"/>
    <w:p w14:paraId="29A6BA4C" w14:textId="77777777" w:rsidR="00963473" w:rsidRPr="005925AE" w:rsidRDefault="00963473" w:rsidP="003521F6"/>
    <w:p w14:paraId="0919EA75" w14:textId="6E232F94" w:rsidR="00567B62" w:rsidRDefault="00567B62" w:rsidP="00E72BFF">
      <w:pPr>
        <w:pStyle w:val="Qasim"/>
        <w:numPr>
          <w:ilvl w:val="0"/>
          <w:numId w:val="0"/>
        </w:numPr>
        <w:ind w:left="270" w:hanging="270"/>
      </w:pPr>
      <w:bookmarkStart w:id="31" w:name="_Toc137727336"/>
      <w:r>
        <w:t>Technical</w:t>
      </w:r>
      <w:r w:rsidRPr="005925AE">
        <w:t xml:space="preserve"> </w:t>
      </w:r>
      <w:r>
        <w:t>Compliance Performa</w:t>
      </w:r>
      <w:bookmarkEnd w:id="31"/>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05FE747D" w14:textId="77777777" w:rsidR="00963473" w:rsidRPr="00321B45" w:rsidRDefault="00963473" w:rsidP="00963473">
      <w:pPr>
        <w:spacing w:after="160" w:line="259" w:lineRule="auto"/>
        <w:ind w:left="0" w:firstLine="0"/>
        <w:jc w:val="center"/>
        <w:rPr>
          <w:rFonts w:ascii="Arial Narrow" w:hAnsi="Arial Narrow"/>
          <w:b/>
          <w:sz w:val="36"/>
          <w:szCs w:val="36"/>
          <w:u w:color="000000"/>
        </w:rPr>
      </w:pPr>
      <w:r w:rsidRPr="00BB2DCB">
        <w:rPr>
          <w:rFonts w:ascii="Arial Narrow" w:hAnsi="Arial Narrow"/>
          <w:b/>
          <w:sz w:val="36"/>
          <w:szCs w:val="36"/>
          <w:u w:color="000000"/>
        </w:rPr>
        <w:t xml:space="preserve">Supply of </w:t>
      </w:r>
      <w:r>
        <w:rPr>
          <w:rFonts w:ascii="Arial Narrow" w:hAnsi="Arial Narrow"/>
          <w:b/>
          <w:sz w:val="36"/>
          <w:szCs w:val="36"/>
          <w:u w:color="000000"/>
        </w:rPr>
        <w:t>New Furniture</w:t>
      </w:r>
      <w:r w:rsidRPr="00BB2DCB">
        <w:rPr>
          <w:rFonts w:ascii="Arial Narrow" w:hAnsi="Arial Narrow"/>
          <w:b/>
          <w:sz w:val="36"/>
          <w:szCs w:val="36"/>
          <w:u w:color="000000"/>
        </w:rPr>
        <w:t xml:space="preserve"> </w:t>
      </w:r>
    </w:p>
    <w:tbl>
      <w:tblPr>
        <w:tblStyle w:val="TableGrid0"/>
        <w:tblW w:w="9805" w:type="dxa"/>
        <w:tblLook w:val="04A0" w:firstRow="1" w:lastRow="0" w:firstColumn="1" w:lastColumn="0" w:noHBand="0" w:noVBand="1"/>
      </w:tblPr>
      <w:tblGrid>
        <w:gridCol w:w="544"/>
        <w:gridCol w:w="4016"/>
        <w:gridCol w:w="1213"/>
        <w:gridCol w:w="1313"/>
        <w:gridCol w:w="1394"/>
        <w:gridCol w:w="1325"/>
      </w:tblGrid>
      <w:tr w:rsidR="00BB7B3F" w14:paraId="53B51B98" w14:textId="77777777" w:rsidTr="000A5DA6">
        <w:tc>
          <w:tcPr>
            <w:tcW w:w="544"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4016"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213" w:type="dxa"/>
            <w:shd w:val="clear" w:color="auto" w:fill="BFBFBF" w:themeFill="background1" w:themeFillShade="BF"/>
            <w:vAlign w:val="center"/>
          </w:tcPr>
          <w:p w14:paraId="6F640232" w14:textId="34E857FE" w:rsidR="00BB7B3F" w:rsidRDefault="000A5DA6"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Sample Mandatory</w:t>
            </w:r>
          </w:p>
        </w:tc>
        <w:tc>
          <w:tcPr>
            <w:tcW w:w="1313"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394"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325"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0A5DA6" w14:paraId="466781AB" w14:textId="77777777" w:rsidTr="000A5DA6">
        <w:trPr>
          <w:trHeight w:val="800"/>
        </w:trPr>
        <w:tc>
          <w:tcPr>
            <w:tcW w:w="544" w:type="dxa"/>
            <w:vMerge w:val="restart"/>
          </w:tcPr>
          <w:p w14:paraId="58800D92" w14:textId="77777777" w:rsidR="000A5DA6" w:rsidRDefault="000A5DA6" w:rsidP="00963473">
            <w:pPr>
              <w:spacing w:after="160" w:line="259" w:lineRule="auto"/>
              <w:ind w:left="0"/>
              <w:jc w:val="center"/>
              <w:rPr>
                <w:rFonts w:ascii="Arial Narrow" w:hAnsi="Arial Narrow"/>
                <w:bCs/>
                <w:u w:color="000000"/>
              </w:rPr>
            </w:pPr>
          </w:p>
          <w:p w14:paraId="592C1DA8" w14:textId="77777777" w:rsidR="000A5DA6" w:rsidRDefault="000A5DA6" w:rsidP="00963473">
            <w:pPr>
              <w:spacing w:after="160" w:line="259" w:lineRule="auto"/>
              <w:ind w:left="0"/>
              <w:jc w:val="center"/>
              <w:rPr>
                <w:rFonts w:ascii="Arial Narrow" w:hAnsi="Arial Narrow"/>
                <w:bCs/>
                <w:u w:color="000000"/>
              </w:rPr>
            </w:pPr>
          </w:p>
          <w:p w14:paraId="574CB465" w14:textId="77777777" w:rsidR="000A5DA6" w:rsidRDefault="000A5DA6" w:rsidP="00963473">
            <w:pPr>
              <w:spacing w:after="160" w:line="259" w:lineRule="auto"/>
              <w:ind w:left="0"/>
              <w:jc w:val="center"/>
              <w:rPr>
                <w:rFonts w:ascii="Arial Narrow" w:hAnsi="Arial Narrow"/>
                <w:bCs/>
                <w:u w:color="000000"/>
              </w:rPr>
            </w:pPr>
          </w:p>
          <w:p w14:paraId="15AB5DBE" w14:textId="77777777" w:rsidR="000A5DA6" w:rsidRDefault="000A5DA6" w:rsidP="00963473">
            <w:pPr>
              <w:spacing w:after="160" w:line="259" w:lineRule="auto"/>
              <w:ind w:left="0"/>
              <w:jc w:val="center"/>
              <w:rPr>
                <w:rFonts w:ascii="Arial Narrow" w:hAnsi="Arial Narrow"/>
                <w:bCs/>
                <w:u w:color="000000"/>
              </w:rPr>
            </w:pPr>
          </w:p>
          <w:p w14:paraId="605B0C90" w14:textId="01560FB8" w:rsidR="000A5DA6" w:rsidRPr="00BD38AA" w:rsidRDefault="000A5DA6" w:rsidP="00963473">
            <w:pPr>
              <w:spacing w:after="160" w:line="259" w:lineRule="auto"/>
              <w:ind w:left="0"/>
              <w:jc w:val="center"/>
              <w:rPr>
                <w:rFonts w:ascii="Arial Narrow" w:hAnsi="Arial Narrow"/>
                <w:bCs/>
                <w:u w:color="000000"/>
              </w:rPr>
            </w:pPr>
            <w:r>
              <w:rPr>
                <w:rFonts w:ascii="Arial Narrow" w:hAnsi="Arial Narrow"/>
                <w:bCs/>
                <w:u w:color="000000"/>
              </w:rPr>
              <w:t>01</w:t>
            </w:r>
          </w:p>
        </w:tc>
        <w:tc>
          <w:tcPr>
            <w:tcW w:w="4016" w:type="dxa"/>
          </w:tcPr>
          <w:p w14:paraId="1FFDD41F" w14:textId="2CCCB4F2" w:rsidR="000A5DA6" w:rsidRPr="000D278E" w:rsidRDefault="000A5DA6" w:rsidP="00963473">
            <w:pPr>
              <w:ind w:left="-10" w:right="90" w:firstLine="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C">
              <w:t>Alexa Double Desk with 2 Chairs</w:t>
            </w:r>
          </w:p>
        </w:tc>
        <w:tc>
          <w:tcPr>
            <w:tcW w:w="1213" w:type="dxa"/>
            <w:vMerge w:val="restart"/>
          </w:tcPr>
          <w:p w14:paraId="67BF5AA3"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13" w:type="dxa"/>
          </w:tcPr>
          <w:p w14:paraId="330513F4"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94" w:type="dxa"/>
          </w:tcPr>
          <w:p w14:paraId="64DB5154"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25" w:type="dxa"/>
          </w:tcPr>
          <w:p w14:paraId="4CCBED9D" w14:textId="77777777" w:rsidR="000A5DA6" w:rsidRDefault="000A5DA6" w:rsidP="00963473">
            <w:pPr>
              <w:spacing w:after="160" w:line="259" w:lineRule="auto"/>
              <w:ind w:left="0" w:firstLine="0"/>
              <w:jc w:val="center"/>
              <w:rPr>
                <w:rFonts w:ascii="Arial Narrow" w:hAnsi="Arial Narrow"/>
                <w:b/>
                <w:sz w:val="36"/>
                <w:szCs w:val="36"/>
                <w:u w:color="000000"/>
              </w:rPr>
            </w:pPr>
          </w:p>
        </w:tc>
      </w:tr>
      <w:tr w:rsidR="000A5DA6" w14:paraId="6DF2AFFA" w14:textId="77777777" w:rsidTr="000A5DA6">
        <w:tc>
          <w:tcPr>
            <w:tcW w:w="544" w:type="dxa"/>
            <w:vMerge/>
          </w:tcPr>
          <w:p w14:paraId="4CC50772" w14:textId="0E8208EF" w:rsidR="000A5DA6" w:rsidRPr="00BD38AA" w:rsidRDefault="000A5DA6" w:rsidP="00963473">
            <w:pPr>
              <w:spacing w:after="160" w:line="259" w:lineRule="auto"/>
              <w:ind w:left="0"/>
              <w:jc w:val="center"/>
              <w:rPr>
                <w:rFonts w:ascii="Arial Narrow" w:hAnsi="Arial Narrow"/>
                <w:bCs/>
                <w:u w:color="000000"/>
              </w:rPr>
            </w:pPr>
          </w:p>
        </w:tc>
        <w:tc>
          <w:tcPr>
            <w:tcW w:w="4016" w:type="dxa"/>
          </w:tcPr>
          <w:p w14:paraId="3DBB8CD6" w14:textId="5FFAFA23" w:rsidR="000A5DA6" w:rsidRPr="000D278E" w:rsidRDefault="000A5DA6" w:rsidP="00963473">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C">
              <w:t>Desk Size L1400 x D500 x 750 mm H</w:t>
            </w:r>
          </w:p>
        </w:tc>
        <w:tc>
          <w:tcPr>
            <w:tcW w:w="1213" w:type="dxa"/>
            <w:vMerge/>
          </w:tcPr>
          <w:p w14:paraId="5F16C136"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13" w:type="dxa"/>
          </w:tcPr>
          <w:p w14:paraId="06FF1BCC"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94" w:type="dxa"/>
          </w:tcPr>
          <w:p w14:paraId="03DA1929"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25" w:type="dxa"/>
          </w:tcPr>
          <w:p w14:paraId="6103E846" w14:textId="77777777" w:rsidR="000A5DA6" w:rsidRDefault="000A5DA6" w:rsidP="00963473">
            <w:pPr>
              <w:spacing w:after="160" w:line="259" w:lineRule="auto"/>
              <w:ind w:left="0" w:firstLine="0"/>
              <w:jc w:val="center"/>
              <w:rPr>
                <w:rFonts w:ascii="Arial Narrow" w:hAnsi="Arial Narrow"/>
                <w:b/>
                <w:sz w:val="36"/>
                <w:szCs w:val="36"/>
                <w:u w:color="000000"/>
              </w:rPr>
            </w:pPr>
          </w:p>
        </w:tc>
      </w:tr>
      <w:tr w:rsidR="000A5DA6" w14:paraId="0B0BEC95" w14:textId="77777777" w:rsidTr="000A5DA6">
        <w:tc>
          <w:tcPr>
            <w:tcW w:w="544" w:type="dxa"/>
            <w:vMerge/>
          </w:tcPr>
          <w:p w14:paraId="2F448BB3" w14:textId="5CD9A285" w:rsidR="000A5DA6" w:rsidRPr="00BD38AA" w:rsidRDefault="000A5DA6" w:rsidP="00963473">
            <w:pPr>
              <w:spacing w:after="160" w:line="259" w:lineRule="auto"/>
              <w:ind w:left="0"/>
              <w:jc w:val="center"/>
              <w:rPr>
                <w:rFonts w:ascii="Arial Narrow" w:hAnsi="Arial Narrow"/>
                <w:bCs/>
                <w:u w:color="000000"/>
              </w:rPr>
            </w:pPr>
          </w:p>
        </w:tc>
        <w:tc>
          <w:tcPr>
            <w:tcW w:w="4016" w:type="dxa"/>
          </w:tcPr>
          <w:p w14:paraId="73B02D96" w14:textId="4F7D1D62" w:rsidR="000A5DA6" w:rsidRPr="000D278E" w:rsidRDefault="000A5DA6" w:rsidP="00963473">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C">
              <w:t>Chair Size: Large (18 “x 18” seat height 18” inch H)</w:t>
            </w:r>
          </w:p>
        </w:tc>
        <w:tc>
          <w:tcPr>
            <w:tcW w:w="1213" w:type="dxa"/>
            <w:vMerge/>
          </w:tcPr>
          <w:p w14:paraId="48D1D258"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13" w:type="dxa"/>
          </w:tcPr>
          <w:p w14:paraId="347F67BD"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94" w:type="dxa"/>
          </w:tcPr>
          <w:p w14:paraId="16BB9B79"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25" w:type="dxa"/>
          </w:tcPr>
          <w:p w14:paraId="36483452" w14:textId="77777777" w:rsidR="000A5DA6" w:rsidRDefault="000A5DA6" w:rsidP="00963473">
            <w:pPr>
              <w:spacing w:after="160" w:line="259" w:lineRule="auto"/>
              <w:ind w:left="0" w:firstLine="0"/>
              <w:jc w:val="center"/>
              <w:rPr>
                <w:rFonts w:ascii="Arial Narrow" w:hAnsi="Arial Narrow"/>
                <w:b/>
                <w:sz w:val="36"/>
                <w:szCs w:val="36"/>
                <w:u w:color="000000"/>
              </w:rPr>
            </w:pPr>
          </w:p>
        </w:tc>
      </w:tr>
      <w:tr w:rsidR="000A5DA6" w14:paraId="5D831A90" w14:textId="77777777" w:rsidTr="000A5DA6">
        <w:tc>
          <w:tcPr>
            <w:tcW w:w="544" w:type="dxa"/>
            <w:vMerge/>
          </w:tcPr>
          <w:p w14:paraId="7DE763D0" w14:textId="553FF461" w:rsidR="000A5DA6" w:rsidRDefault="000A5DA6" w:rsidP="00963473">
            <w:pPr>
              <w:spacing w:after="160" w:line="259" w:lineRule="auto"/>
              <w:ind w:left="0"/>
              <w:jc w:val="center"/>
              <w:rPr>
                <w:rFonts w:ascii="Arial Narrow" w:hAnsi="Arial Narrow"/>
                <w:bCs/>
                <w:u w:color="000000"/>
              </w:rPr>
            </w:pPr>
          </w:p>
        </w:tc>
        <w:tc>
          <w:tcPr>
            <w:tcW w:w="4016" w:type="dxa"/>
          </w:tcPr>
          <w:p w14:paraId="30ED1D5F" w14:textId="76191F36" w:rsidR="000A5DA6" w:rsidRPr="000D278E" w:rsidRDefault="000A5DA6" w:rsidP="00963473">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C">
              <w:t>Desktop to be made of MDF Board with polished edges, base to be made of MS Round pipe powder coated finish having 1 Shelve Having.</w:t>
            </w:r>
          </w:p>
        </w:tc>
        <w:tc>
          <w:tcPr>
            <w:tcW w:w="1213" w:type="dxa"/>
            <w:vMerge/>
          </w:tcPr>
          <w:p w14:paraId="138C9444"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13" w:type="dxa"/>
          </w:tcPr>
          <w:p w14:paraId="1320A483"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94" w:type="dxa"/>
          </w:tcPr>
          <w:p w14:paraId="6653E4B8"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25" w:type="dxa"/>
          </w:tcPr>
          <w:p w14:paraId="3B7A4A59" w14:textId="77777777" w:rsidR="000A5DA6" w:rsidRDefault="000A5DA6" w:rsidP="00963473">
            <w:pPr>
              <w:spacing w:after="160" w:line="259" w:lineRule="auto"/>
              <w:ind w:left="0" w:firstLine="0"/>
              <w:jc w:val="center"/>
              <w:rPr>
                <w:rFonts w:ascii="Arial Narrow" w:hAnsi="Arial Narrow"/>
                <w:b/>
                <w:sz w:val="36"/>
                <w:szCs w:val="36"/>
                <w:u w:color="000000"/>
              </w:rPr>
            </w:pPr>
          </w:p>
        </w:tc>
      </w:tr>
      <w:tr w:rsidR="000A5DA6" w14:paraId="1047AAC4" w14:textId="77777777" w:rsidTr="000A5DA6">
        <w:trPr>
          <w:trHeight w:val="3365"/>
        </w:trPr>
        <w:tc>
          <w:tcPr>
            <w:tcW w:w="544" w:type="dxa"/>
            <w:vMerge/>
          </w:tcPr>
          <w:p w14:paraId="0C8D0CFF" w14:textId="7973B335" w:rsidR="000A5DA6" w:rsidRDefault="000A5DA6" w:rsidP="00963473">
            <w:pPr>
              <w:spacing w:after="160" w:line="259" w:lineRule="auto"/>
              <w:ind w:left="0" w:firstLine="0"/>
              <w:jc w:val="center"/>
              <w:rPr>
                <w:rFonts w:ascii="Arial Narrow" w:hAnsi="Arial Narrow"/>
                <w:bCs/>
                <w:u w:color="000000"/>
              </w:rPr>
            </w:pPr>
          </w:p>
        </w:tc>
        <w:tc>
          <w:tcPr>
            <w:tcW w:w="4016" w:type="dxa"/>
          </w:tcPr>
          <w:p w14:paraId="55DF03C2" w14:textId="77777777" w:rsidR="000A5DA6" w:rsidRDefault="000A5DA6" w:rsidP="00963473">
            <w:pPr>
              <w:ind w:left="0" w:right="90"/>
            </w:pPr>
            <w:r w:rsidRPr="0061516C">
              <w:t>Chair seat &amp; back to be made of MDF Board with polished edges. Base to be made of round 18 guage pipe. Powder coated finish.</w:t>
            </w:r>
          </w:p>
          <w:p w14:paraId="1A384D4F" w14:textId="52C33F07" w:rsidR="000A5DA6" w:rsidRPr="000D278E" w:rsidRDefault="000A5DA6" w:rsidP="00963473">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rPr>
              <w:drawing>
                <wp:inline distT="0" distB="0" distL="0" distR="0" wp14:anchorId="679FFE12" wp14:editId="2F9719BD">
                  <wp:extent cx="2362200" cy="2162175"/>
                  <wp:effectExtent l="0" t="0" r="0" b="9525"/>
                  <wp:docPr id="565503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2162175"/>
                          </a:xfrm>
                          <a:prstGeom prst="rect">
                            <a:avLst/>
                          </a:prstGeom>
                          <a:noFill/>
                          <a:ln>
                            <a:noFill/>
                          </a:ln>
                        </pic:spPr>
                      </pic:pic>
                    </a:graphicData>
                  </a:graphic>
                </wp:inline>
              </w:drawing>
            </w:r>
          </w:p>
        </w:tc>
        <w:tc>
          <w:tcPr>
            <w:tcW w:w="1213" w:type="dxa"/>
            <w:vMerge/>
          </w:tcPr>
          <w:p w14:paraId="7CFA8BCA"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13" w:type="dxa"/>
          </w:tcPr>
          <w:p w14:paraId="32D1B826"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94" w:type="dxa"/>
          </w:tcPr>
          <w:p w14:paraId="329255B5" w14:textId="77777777" w:rsidR="000A5DA6" w:rsidRDefault="000A5DA6" w:rsidP="00963473">
            <w:pPr>
              <w:spacing w:after="160" w:line="259" w:lineRule="auto"/>
              <w:ind w:left="0" w:firstLine="0"/>
              <w:jc w:val="center"/>
              <w:rPr>
                <w:rFonts w:ascii="Arial Narrow" w:hAnsi="Arial Narrow"/>
                <w:b/>
                <w:sz w:val="36"/>
                <w:szCs w:val="36"/>
                <w:u w:color="000000"/>
              </w:rPr>
            </w:pPr>
          </w:p>
        </w:tc>
        <w:tc>
          <w:tcPr>
            <w:tcW w:w="1325" w:type="dxa"/>
          </w:tcPr>
          <w:p w14:paraId="32EEDAAB" w14:textId="77777777" w:rsidR="000A5DA6" w:rsidRDefault="000A5DA6" w:rsidP="00963473">
            <w:pPr>
              <w:spacing w:after="160" w:line="259" w:lineRule="auto"/>
              <w:ind w:left="0" w:firstLine="0"/>
              <w:jc w:val="center"/>
              <w:rPr>
                <w:rFonts w:ascii="Arial Narrow" w:hAnsi="Arial Narrow"/>
                <w:b/>
                <w:sz w:val="36"/>
                <w:szCs w:val="36"/>
                <w:u w:color="000000"/>
              </w:rPr>
            </w:pPr>
          </w:p>
        </w:tc>
      </w:tr>
    </w:tbl>
    <w:p w14:paraId="5E3B6C99" w14:textId="77777777" w:rsidR="00567B62" w:rsidRDefault="00567B62" w:rsidP="00567B62">
      <w:pPr>
        <w:spacing w:after="0" w:line="259" w:lineRule="auto"/>
        <w:ind w:left="0" w:firstLine="0"/>
        <w:jc w:val="left"/>
        <w:rPr>
          <w:rFonts w:ascii="Arial Narrow" w:hAnsi="Arial Narrow"/>
          <w:sz w:val="24"/>
        </w:rPr>
      </w:pPr>
    </w:p>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457CC03F" w14:textId="77777777" w:rsidR="008837D1" w:rsidRPr="00D142C5" w:rsidRDefault="008837D1" w:rsidP="008837D1">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Pr="008837D1" w:rsidRDefault="00567B62" w:rsidP="008837D1">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2" w:name="_Toc137727337"/>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CA106B" w:rsidRPr="005925AE" w14:paraId="66F2B96A"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8FFFB2D" w14:textId="116D270C" w:rsidR="00CA106B" w:rsidRDefault="00CA106B" w:rsidP="00F413BD">
            <w:pPr>
              <w:spacing w:after="0" w:line="240" w:lineRule="auto"/>
              <w:ind w:left="0" w:firstLine="0"/>
              <w:jc w:val="left"/>
              <w:rPr>
                <w:rFonts w:ascii="Arial Narrow" w:hAnsi="Arial Narrow"/>
                <w:sz w:val="24"/>
                <w:szCs w:val="24"/>
              </w:rPr>
            </w:pPr>
            <w:r>
              <w:rPr>
                <w:rFonts w:ascii="Arial Narrow" w:hAnsi="Arial Narrow"/>
                <w:sz w:val="24"/>
                <w:szCs w:val="24"/>
              </w:rPr>
              <w:t>One Sample Mandatory</w:t>
            </w:r>
          </w:p>
        </w:tc>
        <w:tc>
          <w:tcPr>
            <w:tcW w:w="1175" w:type="dxa"/>
            <w:tcBorders>
              <w:top w:val="single" w:sz="4" w:space="0" w:color="000000"/>
              <w:left w:val="single" w:sz="4" w:space="0" w:color="000000"/>
              <w:bottom w:val="single" w:sz="4" w:space="0" w:color="000000"/>
              <w:right w:val="single" w:sz="4" w:space="0" w:color="000000"/>
            </w:tcBorders>
            <w:vAlign w:val="center"/>
          </w:tcPr>
          <w:p w14:paraId="1F53B91A" w14:textId="77777777" w:rsidR="00CA106B" w:rsidRPr="005925AE" w:rsidRDefault="00CA106B"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9F0E66C" w14:textId="77777777" w:rsidR="00CA106B" w:rsidRPr="005925AE" w:rsidRDefault="00CA106B"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C49E1E" w14:textId="77777777" w:rsidR="00CA106B" w:rsidRPr="005925AE" w:rsidRDefault="00CA106B"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2"/>
      <w:footerReference w:type="even" r:id="rId13"/>
      <w:footerReference w:type="default" r:id="rId14"/>
      <w:footerReference w:type="first" r:id="rId15"/>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47B9" w14:textId="77777777" w:rsidR="00F81741" w:rsidRDefault="00F81741">
      <w:pPr>
        <w:spacing w:after="0" w:line="240" w:lineRule="auto"/>
      </w:pPr>
      <w:r>
        <w:separator/>
      </w:r>
    </w:p>
  </w:endnote>
  <w:endnote w:type="continuationSeparator" w:id="0">
    <w:p w14:paraId="2FDACD3B" w14:textId="77777777" w:rsidR="00F81741" w:rsidRDefault="00F8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983B" w14:textId="77777777" w:rsidR="00F81741" w:rsidRDefault="00F81741">
      <w:pPr>
        <w:spacing w:after="0" w:line="240" w:lineRule="auto"/>
      </w:pPr>
      <w:r>
        <w:separator/>
      </w:r>
    </w:p>
  </w:footnote>
  <w:footnote w:type="continuationSeparator" w:id="0">
    <w:p w14:paraId="2D063FBE" w14:textId="77777777" w:rsidR="00F81741" w:rsidRDefault="00F8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4" w15:restartNumberingAfterBreak="0">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8"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6"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0"/>
  </w:num>
  <w:num w:numId="2" w16cid:durableId="183449091">
    <w:abstractNumId w:val="13"/>
  </w:num>
  <w:num w:numId="3" w16cid:durableId="2023697157">
    <w:abstractNumId w:val="9"/>
  </w:num>
  <w:num w:numId="4" w16cid:durableId="1499230687">
    <w:abstractNumId w:val="0"/>
  </w:num>
  <w:num w:numId="5" w16cid:durableId="1382053408">
    <w:abstractNumId w:val="27"/>
  </w:num>
  <w:num w:numId="6" w16cid:durableId="1455638764">
    <w:abstractNumId w:val="35"/>
  </w:num>
  <w:num w:numId="7" w16cid:durableId="1738091226">
    <w:abstractNumId w:val="6"/>
  </w:num>
  <w:num w:numId="8" w16cid:durableId="528449220">
    <w:abstractNumId w:val="32"/>
  </w:num>
  <w:num w:numId="9" w16cid:durableId="1796946455">
    <w:abstractNumId w:val="23"/>
  </w:num>
  <w:num w:numId="10" w16cid:durableId="1938898840">
    <w:abstractNumId w:val="29"/>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4"/>
  </w:num>
  <w:num w:numId="16" w16cid:durableId="1110666345">
    <w:abstractNumId w:val="26"/>
  </w:num>
  <w:num w:numId="17" w16cid:durableId="160583845">
    <w:abstractNumId w:val="5"/>
  </w:num>
  <w:num w:numId="18" w16cid:durableId="2073700228">
    <w:abstractNumId w:val="14"/>
  </w:num>
  <w:num w:numId="19" w16cid:durableId="914048223">
    <w:abstractNumId w:val="31"/>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8"/>
  </w:num>
  <w:num w:numId="26" w16cid:durableId="1529293431">
    <w:abstractNumId w:val="22"/>
  </w:num>
  <w:num w:numId="27" w16cid:durableId="1535382883">
    <w:abstractNumId w:val="11"/>
  </w:num>
  <w:num w:numId="28" w16cid:durableId="1831365460">
    <w:abstractNumId w:val="19"/>
  </w:num>
  <w:num w:numId="29" w16cid:durableId="1219394588">
    <w:abstractNumId w:val="1"/>
  </w:num>
  <w:num w:numId="30" w16cid:durableId="636647755">
    <w:abstractNumId w:val="36"/>
  </w:num>
  <w:num w:numId="31" w16cid:durableId="1023704038">
    <w:abstractNumId w:val="2"/>
  </w:num>
  <w:num w:numId="32" w16cid:durableId="869301384">
    <w:abstractNumId w:val="33"/>
  </w:num>
  <w:num w:numId="33" w16cid:durableId="226307101">
    <w:abstractNumId w:val="3"/>
  </w:num>
  <w:num w:numId="34" w16cid:durableId="1636914640">
    <w:abstractNumId w:val="25"/>
  </w:num>
  <w:num w:numId="35" w16cid:durableId="1849906182">
    <w:abstractNumId w:val="20"/>
  </w:num>
  <w:num w:numId="36" w16cid:durableId="261257839">
    <w:abstractNumId w:val="21"/>
  </w:num>
  <w:num w:numId="37" w16cid:durableId="81861911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E83"/>
    <w:rsid w:val="00015AB2"/>
    <w:rsid w:val="00016889"/>
    <w:rsid w:val="000211DC"/>
    <w:rsid w:val="000244B9"/>
    <w:rsid w:val="00024B31"/>
    <w:rsid w:val="00027B5B"/>
    <w:rsid w:val="00027CB3"/>
    <w:rsid w:val="00031461"/>
    <w:rsid w:val="0003182C"/>
    <w:rsid w:val="000320AB"/>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48D0"/>
    <w:rsid w:val="000858D2"/>
    <w:rsid w:val="00091052"/>
    <w:rsid w:val="000924A8"/>
    <w:rsid w:val="00093EAF"/>
    <w:rsid w:val="00095982"/>
    <w:rsid w:val="00096D84"/>
    <w:rsid w:val="0009789F"/>
    <w:rsid w:val="000A03DA"/>
    <w:rsid w:val="000A0FEF"/>
    <w:rsid w:val="000A4E07"/>
    <w:rsid w:val="000A5AC0"/>
    <w:rsid w:val="000A5DA6"/>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F2C"/>
    <w:rsid w:val="000E016A"/>
    <w:rsid w:val="000E0F80"/>
    <w:rsid w:val="000E321D"/>
    <w:rsid w:val="000E5908"/>
    <w:rsid w:val="000F160E"/>
    <w:rsid w:val="000F1F43"/>
    <w:rsid w:val="000F52E0"/>
    <w:rsid w:val="000F5AEB"/>
    <w:rsid w:val="001003DD"/>
    <w:rsid w:val="001021B9"/>
    <w:rsid w:val="00105359"/>
    <w:rsid w:val="00107AC2"/>
    <w:rsid w:val="00112A6C"/>
    <w:rsid w:val="0011420D"/>
    <w:rsid w:val="0012154E"/>
    <w:rsid w:val="00121584"/>
    <w:rsid w:val="0012625B"/>
    <w:rsid w:val="00126C60"/>
    <w:rsid w:val="00127179"/>
    <w:rsid w:val="00132B66"/>
    <w:rsid w:val="001364CB"/>
    <w:rsid w:val="0014029E"/>
    <w:rsid w:val="00142110"/>
    <w:rsid w:val="0014427D"/>
    <w:rsid w:val="001448F7"/>
    <w:rsid w:val="00144E88"/>
    <w:rsid w:val="001479A5"/>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4F53"/>
    <w:rsid w:val="001A548A"/>
    <w:rsid w:val="001A5E17"/>
    <w:rsid w:val="001B01DE"/>
    <w:rsid w:val="001B04AA"/>
    <w:rsid w:val="001B0D68"/>
    <w:rsid w:val="001B1727"/>
    <w:rsid w:val="001B4D3E"/>
    <w:rsid w:val="001B513E"/>
    <w:rsid w:val="001B6C50"/>
    <w:rsid w:val="001B6D95"/>
    <w:rsid w:val="001C0009"/>
    <w:rsid w:val="001C0402"/>
    <w:rsid w:val="001C0782"/>
    <w:rsid w:val="001C484E"/>
    <w:rsid w:val="001C5009"/>
    <w:rsid w:val="001C656D"/>
    <w:rsid w:val="001C7FB6"/>
    <w:rsid w:val="001D0A47"/>
    <w:rsid w:val="001D4680"/>
    <w:rsid w:val="001D5E6F"/>
    <w:rsid w:val="001E0EC6"/>
    <w:rsid w:val="001E68F7"/>
    <w:rsid w:val="001E6E5F"/>
    <w:rsid w:val="001E75B6"/>
    <w:rsid w:val="001F52D6"/>
    <w:rsid w:val="001F5406"/>
    <w:rsid w:val="00202A42"/>
    <w:rsid w:val="002036C8"/>
    <w:rsid w:val="0020448B"/>
    <w:rsid w:val="0020527B"/>
    <w:rsid w:val="00205330"/>
    <w:rsid w:val="002055D2"/>
    <w:rsid w:val="002072A6"/>
    <w:rsid w:val="00207406"/>
    <w:rsid w:val="00207DE9"/>
    <w:rsid w:val="00210994"/>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7E67"/>
    <w:rsid w:val="0027000D"/>
    <w:rsid w:val="0027218D"/>
    <w:rsid w:val="002736F5"/>
    <w:rsid w:val="00274EEC"/>
    <w:rsid w:val="00275FD5"/>
    <w:rsid w:val="0028002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1B45"/>
    <w:rsid w:val="0032269F"/>
    <w:rsid w:val="00324DE7"/>
    <w:rsid w:val="00325288"/>
    <w:rsid w:val="003260FC"/>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4356"/>
    <w:rsid w:val="0037446A"/>
    <w:rsid w:val="00376A79"/>
    <w:rsid w:val="00377C6E"/>
    <w:rsid w:val="00380CE5"/>
    <w:rsid w:val="00381577"/>
    <w:rsid w:val="00381D13"/>
    <w:rsid w:val="00384371"/>
    <w:rsid w:val="00385539"/>
    <w:rsid w:val="003936B0"/>
    <w:rsid w:val="0039428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723E"/>
    <w:rsid w:val="004037C5"/>
    <w:rsid w:val="00404976"/>
    <w:rsid w:val="0040529B"/>
    <w:rsid w:val="004056D8"/>
    <w:rsid w:val="00405F4F"/>
    <w:rsid w:val="00407CCC"/>
    <w:rsid w:val="00411339"/>
    <w:rsid w:val="004127B3"/>
    <w:rsid w:val="004130C4"/>
    <w:rsid w:val="00414592"/>
    <w:rsid w:val="00414A49"/>
    <w:rsid w:val="0042529E"/>
    <w:rsid w:val="00426DEE"/>
    <w:rsid w:val="00431A66"/>
    <w:rsid w:val="00432BC7"/>
    <w:rsid w:val="00432DD5"/>
    <w:rsid w:val="004334E0"/>
    <w:rsid w:val="00433578"/>
    <w:rsid w:val="00433A2E"/>
    <w:rsid w:val="00433F1B"/>
    <w:rsid w:val="00434671"/>
    <w:rsid w:val="00434D03"/>
    <w:rsid w:val="0043598D"/>
    <w:rsid w:val="00437C64"/>
    <w:rsid w:val="00445229"/>
    <w:rsid w:val="004457FB"/>
    <w:rsid w:val="00445824"/>
    <w:rsid w:val="0044647A"/>
    <w:rsid w:val="00451525"/>
    <w:rsid w:val="00451557"/>
    <w:rsid w:val="004529BC"/>
    <w:rsid w:val="00453511"/>
    <w:rsid w:val="00453E01"/>
    <w:rsid w:val="00453FDE"/>
    <w:rsid w:val="0045406C"/>
    <w:rsid w:val="00455B21"/>
    <w:rsid w:val="004560B0"/>
    <w:rsid w:val="004561D3"/>
    <w:rsid w:val="00460206"/>
    <w:rsid w:val="00460C7C"/>
    <w:rsid w:val="00466661"/>
    <w:rsid w:val="00467D5F"/>
    <w:rsid w:val="0047678B"/>
    <w:rsid w:val="004769F4"/>
    <w:rsid w:val="004776A8"/>
    <w:rsid w:val="00480785"/>
    <w:rsid w:val="004816E8"/>
    <w:rsid w:val="00481B11"/>
    <w:rsid w:val="00482921"/>
    <w:rsid w:val="004841EE"/>
    <w:rsid w:val="00484989"/>
    <w:rsid w:val="0048517D"/>
    <w:rsid w:val="0048700C"/>
    <w:rsid w:val="00487ED5"/>
    <w:rsid w:val="00491020"/>
    <w:rsid w:val="0049110C"/>
    <w:rsid w:val="004937CB"/>
    <w:rsid w:val="00494545"/>
    <w:rsid w:val="00494A58"/>
    <w:rsid w:val="00496399"/>
    <w:rsid w:val="004A1AF3"/>
    <w:rsid w:val="004A2008"/>
    <w:rsid w:val="004A3098"/>
    <w:rsid w:val="004A542D"/>
    <w:rsid w:val="004A67B3"/>
    <w:rsid w:val="004A7647"/>
    <w:rsid w:val="004B3E31"/>
    <w:rsid w:val="004B5DAE"/>
    <w:rsid w:val="004B5EBF"/>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F8A"/>
    <w:rsid w:val="00531914"/>
    <w:rsid w:val="00542959"/>
    <w:rsid w:val="005454D9"/>
    <w:rsid w:val="00547E7B"/>
    <w:rsid w:val="00551997"/>
    <w:rsid w:val="005552D9"/>
    <w:rsid w:val="00556182"/>
    <w:rsid w:val="0055674F"/>
    <w:rsid w:val="00556D66"/>
    <w:rsid w:val="00556E0E"/>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1D24"/>
    <w:rsid w:val="006222DB"/>
    <w:rsid w:val="006273F5"/>
    <w:rsid w:val="00631C31"/>
    <w:rsid w:val="0063222E"/>
    <w:rsid w:val="00632FFD"/>
    <w:rsid w:val="00633A2B"/>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A1CC6"/>
    <w:rsid w:val="006B00E7"/>
    <w:rsid w:val="006B01AF"/>
    <w:rsid w:val="006B0F5E"/>
    <w:rsid w:val="006B144C"/>
    <w:rsid w:val="006B2820"/>
    <w:rsid w:val="006B5FFD"/>
    <w:rsid w:val="006C0931"/>
    <w:rsid w:val="006C7D55"/>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246F"/>
    <w:rsid w:val="00722C99"/>
    <w:rsid w:val="0072720A"/>
    <w:rsid w:val="007301E1"/>
    <w:rsid w:val="007334EB"/>
    <w:rsid w:val="00733DBF"/>
    <w:rsid w:val="0073639F"/>
    <w:rsid w:val="00740194"/>
    <w:rsid w:val="00740B69"/>
    <w:rsid w:val="00743062"/>
    <w:rsid w:val="0074569F"/>
    <w:rsid w:val="00746880"/>
    <w:rsid w:val="00750871"/>
    <w:rsid w:val="00750BEB"/>
    <w:rsid w:val="00751564"/>
    <w:rsid w:val="00754202"/>
    <w:rsid w:val="00755ACF"/>
    <w:rsid w:val="007563F6"/>
    <w:rsid w:val="0076174F"/>
    <w:rsid w:val="00761CBB"/>
    <w:rsid w:val="00763819"/>
    <w:rsid w:val="00763905"/>
    <w:rsid w:val="00764DE3"/>
    <w:rsid w:val="00767E70"/>
    <w:rsid w:val="0077087C"/>
    <w:rsid w:val="00773366"/>
    <w:rsid w:val="00780689"/>
    <w:rsid w:val="00786CCE"/>
    <w:rsid w:val="00791383"/>
    <w:rsid w:val="007927FA"/>
    <w:rsid w:val="00793CB5"/>
    <w:rsid w:val="00794C23"/>
    <w:rsid w:val="007A077B"/>
    <w:rsid w:val="007A0C33"/>
    <w:rsid w:val="007A199D"/>
    <w:rsid w:val="007A25AE"/>
    <w:rsid w:val="007A5275"/>
    <w:rsid w:val="007B1131"/>
    <w:rsid w:val="007B4B0B"/>
    <w:rsid w:val="007B696A"/>
    <w:rsid w:val="007B6DF8"/>
    <w:rsid w:val="007C12BA"/>
    <w:rsid w:val="007C69C8"/>
    <w:rsid w:val="007D16FC"/>
    <w:rsid w:val="007D7092"/>
    <w:rsid w:val="007D7578"/>
    <w:rsid w:val="007E045E"/>
    <w:rsid w:val="007E4F67"/>
    <w:rsid w:val="007E5246"/>
    <w:rsid w:val="007F0ABD"/>
    <w:rsid w:val="007F0BEC"/>
    <w:rsid w:val="007F3B44"/>
    <w:rsid w:val="007F5A52"/>
    <w:rsid w:val="00800526"/>
    <w:rsid w:val="00805E10"/>
    <w:rsid w:val="00806991"/>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47DC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751"/>
    <w:rsid w:val="008D2B97"/>
    <w:rsid w:val="008D2D60"/>
    <w:rsid w:val="008D5AB8"/>
    <w:rsid w:val="008E011F"/>
    <w:rsid w:val="008E5822"/>
    <w:rsid w:val="008E686B"/>
    <w:rsid w:val="008F204F"/>
    <w:rsid w:val="008F35E9"/>
    <w:rsid w:val="008F5114"/>
    <w:rsid w:val="008F6017"/>
    <w:rsid w:val="008F7F4E"/>
    <w:rsid w:val="009010A4"/>
    <w:rsid w:val="00902CD1"/>
    <w:rsid w:val="00905D08"/>
    <w:rsid w:val="00905D12"/>
    <w:rsid w:val="00911E42"/>
    <w:rsid w:val="00911F2D"/>
    <w:rsid w:val="00913089"/>
    <w:rsid w:val="0091633B"/>
    <w:rsid w:val="00916865"/>
    <w:rsid w:val="009178C6"/>
    <w:rsid w:val="00921899"/>
    <w:rsid w:val="00922CE4"/>
    <w:rsid w:val="00922E80"/>
    <w:rsid w:val="00924D78"/>
    <w:rsid w:val="009316D5"/>
    <w:rsid w:val="00932209"/>
    <w:rsid w:val="00933563"/>
    <w:rsid w:val="00935135"/>
    <w:rsid w:val="00936A8D"/>
    <w:rsid w:val="00940884"/>
    <w:rsid w:val="0094145C"/>
    <w:rsid w:val="009439F6"/>
    <w:rsid w:val="00950152"/>
    <w:rsid w:val="00950B27"/>
    <w:rsid w:val="009511C6"/>
    <w:rsid w:val="00952916"/>
    <w:rsid w:val="00952D77"/>
    <w:rsid w:val="00953952"/>
    <w:rsid w:val="00953AD5"/>
    <w:rsid w:val="00954795"/>
    <w:rsid w:val="00956F31"/>
    <w:rsid w:val="00957CF4"/>
    <w:rsid w:val="00957F7C"/>
    <w:rsid w:val="00961E3D"/>
    <w:rsid w:val="00963473"/>
    <w:rsid w:val="00964363"/>
    <w:rsid w:val="009650D6"/>
    <w:rsid w:val="00965966"/>
    <w:rsid w:val="009659FF"/>
    <w:rsid w:val="009711EF"/>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4F70"/>
    <w:rsid w:val="009A5833"/>
    <w:rsid w:val="009A5959"/>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0750B"/>
    <w:rsid w:val="00A12710"/>
    <w:rsid w:val="00A12BA4"/>
    <w:rsid w:val="00A13C3C"/>
    <w:rsid w:val="00A153A8"/>
    <w:rsid w:val="00A24347"/>
    <w:rsid w:val="00A25E75"/>
    <w:rsid w:val="00A2642C"/>
    <w:rsid w:val="00A26C49"/>
    <w:rsid w:val="00A34441"/>
    <w:rsid w:val="00A40ACE"/>
    <w:rsid w:val="00A40C6D"/>
    <w:rsid w:val="00A411FF"/>
    <w:rsid w:val="00A429E2"/>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FB5"/>
    <w:rsid w:val="00AA1839"/>
    <w:rsid w:val="00AA1E07"/>
    <w:rsid w:val="00AA7B4D"/>
    <w:rsid w:val="00AB1ADC"/>
    <w:rsid w:val="00AB60C8"/>
    <w:rsid w:val="00AB7F17"/>
    <w:rsid w:val="00AC0357"/>
    <w:rsid w:val="00AC11B5"/>
    <w:rsid w:val="00AC43AF"/>
    <w:rsid w:val="00AC542F"/>
    <w:rsid w:val="00AC74AB"/>
    <w:rsid w:val="00AC760F"/>
    <w:rsid w:val="00AD08CC"/>
    <w:rsid w:val="00AD3B1C"/>
    <w:rsid w:val="00AD50C0"/>
    <w:rsid w:val="00AD5478"/>
    <w:rsid w:val="00AE5691"/>
    <w:rsid w:val="00AE5941"/>
    <w:rsid w:val="00AE6863"/>
    <w:rsid w:val="00B034D9"/>
    <w:rsid w:val="00B04BD1"/>
    <w:rsid w:val="00B07152"/>
    <w:rsid w:val="00B07ACE"/>
    <w:rsid w:val="00B13E8E"/>
    <w:rsid w:val="00B13F6C"/>
    <w:rsid w:val="00B154BA"/>
    <w:rsid w:val="00B17942"/>
    <w:rsid w:val="00B20C4B"/>
    <w:rsid w:val="00B20F2F"/>
    <w:rsid w:val="00B212AF"/>
    <w:rsid w:val="00B22579"/>
    <w:rsid w:val="00B26418"/>
    <w:rsid w:val="00B2789D"/>
    <w:rsid w:val="00B316FB"/>
    <w:rsid w:val="00B3276A"/>
    <w:rsid w:val="00B34FC1"/>
    <w:rsid w:val="00B36B66"/>
    <w:rsid w:val="00B40ECA"/>
    <w:rsid w:val="00B45121"/>
    <w:rsid w:val="00B4519C"/>
    <w:rsid w:val="00B4791F"/>
    <w:rsid w:val="00B50F87"/>
    <w:rsid w:val="00B5312B"/>
    <w:rsid w:val="00B53DCF"/>
    <w:rsid w:val="00B54F21"/>
    <w:rsid w:val="00B64124"/>
    <w:rsid w:val="00B654D4"/>
    <w:rsid w:val="00B67857"/>
    <w:rsid w:val="00B70786"/>
    <w:rsid w:val="00B73D31"/>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00B5"/>
    <w:rsid w:val="00BC2441"/>
    <w:rsid w:val="00BC3026"/>
    <w:rsid w:val="00BC6149"/>
    <w:rsid w:val="00BD153C"/>
    <w:rsid w:val="00BD38AA"/>
    <w:rsid w:val="00BD50E0"/>
    <w:rsid w:val="00BD660C"/>
    <w:rsid w:val="00BD6AF3"/>
    <w:rsid w:val="00BE2788"/>
    <w:rsid w:val="00BE338A"/>
    <w:rsid w:val="00BE525E"/>
    <w:rsid w:val="00BF09C6"/>
    <w:rsid w:val="00BF1850"/>
    <w:rsid w:val="00BF4D0C"/>
    <w:rsid w:val="00BF55CA"/>
    <w:rsid w:val="00BF7822"/>
    <w:rsid w:val="00C01974"/>
    <w:rsid w:val="00C02CC3"/>
    <w:rsid w:val="00C0648D"/>
    <w:rsid w:val="00C116DB"/>
    <w:rsid w:val="00C12D21"/>
    <w:rsid w:val="00C15126"/>
    <w:rsid w:val="00C15FE3"/>
    <w:rsid w:val="00C1781C"/>
    <w:rsid w:val="00C21805"/>
    <w:rsid w:val="00C22E3A"/>
    <w:rsid w:val="00C25DE1"/>
    <w:rsid w:val="00C260BB"/>
    <w:rsid w:val="00C4054E"/>
    <w:rsid w:val="00C43C63"/>
    <w:rsid w:val="00C45ECA"/>
    <w:rsid w:val="00C4620E"/>
    <w:rsid w:val="00C53470"/>
    <w:rsid w:val="00C53893"/>
    <w:rsid w:val="00C5422E"/>
    <w:rsid w:val="00C55DB6"/>
    <w:rsid w:val="00C5612E"/>
    <w:rsid w:val="00C61E3D"/>
    <w:rsid w:val="00C71081"/>
    <w:rsid w:val="00C72878"/>
    <w:rsid w:val="00C74D82"/>
    <w:rsid w:val="00C76EB1"/>
    <w:rsid w:val="00C801C6"/>
    <w:rsid w:val="00C81C0C"/>
    <w:rsid w:val="00C826EE"/>
    <w:rsid w:val="00C84E7F"/>
    <w:rsid w:val="00C87D76"/>
    <w:rsid w:val="00C96DB4"/>
    <w:rsid w:val="00CA106B"/>
    <w:rsid w:val="00CA240E"/>
    <w:rsid w:val="00CA7526"/>
    <w:rsid w:val="00CB22F6"/>
    <w:rsid w:val="00CB25C8"/>
    <w:rsid w:val="00CB5A88"/>
    <w:rsid w:val="00CC160A"/>
    <w:rsid w:val="00CC1786"/>
    <w:rsid w:val="00CC1B80"/>
    <w:rsid w:val="00CC2E1B"/>
    <w:rsid w:val="00CD0E0C"/>
    <w:rsid w:val="00CD2A5D"/>
    <w:rsid w:val="00CD314A"/>
    <w:rsid w:val="00CD40EA"/>
    <w:rsid w:val="00CD6709"/>
    <w:rsid w:val="00CD6928"/>
    <w:rsid w:val="00CE15F5"/>
    <w:rsid w:val="00CE1C62"/>
    <w:rsid w:val="00CE2274"/>
    <w:rsid w:val="00CE2F4E"/>
    <w:rsid w:val="00CE6647"/>
    <w:rsid w:val="00CF6B89"/>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4428"/>
    <w:rsid w:val="00D472D7"/>
    <w:rsid w:val="00D534C0"/>
    <w:rsid w:val="00D56FE8"/>
    <w:rsid w:val="00D60CA9"/>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041D"/>
    <w:rsid w:val="00DB10B4"/>
    <w:rsid w:val="00DB246A"/>
    <w:rsid w:val="00DB3421"/>
    <w:rsid w:val="00DB431B"/>
    <w:rsid w:val="00DB6526"/>
    <w:rsid w:val="00DB7FDE"/>
    <w:rsid w:val="00DC0320"/>
    <w:rsid w:val="00DC1DC3"/>
    <w:rsid w:val="00DC5013"/>
    <w:rsid w:val="00DD4393"/>
    <w:rsid w:val="00DD5276"/>
    <w:rsid w:val="00DE1041"/>
    <w:rsid w:val="00DE50F0"/>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60B"/>
    <w:rsid w:val="00E82AF1"/>
    <w:rsid w:val="00E833C4"/>
    <w:rsid w:val="00E847AC"/>
    <w:rsid w:val="00E86733"/>
    <w:rsid w:val="00E90243"/>
    <w:rsid w:val="00E91327"/>
    <w:rsid w:val="00E91ECE"/>
    <w:rsid w:val="00E9291F"/>
    <w:rsid w:val="00E95559"/>
    <w:rsid w:val="00E9612D"/>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75C9"/>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56A5"/>
    <w:rsid w:val="00F37078"/>
    <w:rsid w:val="00F413BD"/>
    <w:rsid w:val="00F4728E"/>
    <w:rsid w:val="00F50A79"/>
    <w:rsid w:val="00F521B7"/>
    <w:rsid w:val="00F526E5"/>
    <w:rsid w:val="00F529E0"/>
    <w:rsid w:val="00F5498F"/>
    <w:rsid w:val="00F54D80"/>
    <w:rsid w:val="00F61447"/>
    <w:rsid w:val="00F62CE5"/>
    <w:rsid w:val="00F64A27"/>
    <w:rsid w:val="00F64C90"/>
    <w:rsid w:val="00F70061"/>
    <w:rsid w:val="00F707EE"/>
    <w:rsid w:val="00F707F1"/>
    <w:rsid w:val="00F73613"/>
    <w:rsid w:val="00F74F12"/>
    <w:rsid w:val="00F75ACA"/>
    <w:rsid w:val="00F8169F"/>
    <w:rsid w:val="00F81741"/>
    <w:rsid w:val="00F85674"/>
    <w:rsid w:val="00F86E5A"/>
    <w:rsid w:val="00F920C4"/>
    <w:rsid w:val="00F921DB"/>
    <w:rsid w:val="00F947B6"/>
    <w:rsid w:val="00F95C25"/>
    <w:rsid w:val="00FA1573"/>
    <w:rsid w:val="00FA229D"/>
    <w:rsid w:val="00FA3D31"/>
    <w:rsid w:val="00FA717E"/>
    <w:rsid w:val="00FB0926"/>
    <w:rsid w:val="00FB59E2"/>
    <w:rsid w:val="00FB6FB7"/>
    <w:rsid w:val="00FC18A7"/>
    <w:rsid w:val="00FC51C2"/>
    <w:rsid w:val="00FC74EB"/>
    <w:rsid w:val="00FD590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576479876">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20</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275</cp:revision>
  <cp:lastPrinted>2023-08-15T09:56:00Z</cp:lastPrinted>
  <dcterms:created xsi:type="dcterms:W3CDTF">2023-06-21T08:01:00Z</dcterms:created>
  <dcterms:modified xsi:type="dcterms:W3CDTF">2023-08-16T11:53:00Z</dcterms:modified>
</cp:coreProperties>
</file>